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2770C" w14:textId="77777777" w:rsidR="006563DB" w:rsidRDefault="006563DB" w:rsidP="006563DB">
      <w:pPr>
        <w:spacing w:after="0" w:line="256" w:lineRule="auto"/>
        <w:rPr>
          <w:rFonts w:eastAsiaTheme="minorEastAsia" w:cstheme="minorBidi"/>
          <w:b/>
          <w:bCs/>
        </w:rPr>
      </w:pPr>
      <w:r>
        <w:rPr>
          <w:b/>
        </w:rPr>
        <w:t>Bilaga 2 Avgiftstabell 1.</w:t>
      </w:r>
    </w:p>
    <w:p w14:paraId="180DF103" w14:textId="77777777" w:rsidR="006563DB" w:rsidRDefault="006563DB" w:rsidP="006563DB">
      <w:pPr>
        <w:spacing w:after="0" w:line="256" w:lineRule="auto"/>
        <w:rPr>
          <w:rFonts w:eastAsiaTheme="minorEastAsia" w:cstheme="minorBidi"/>
        </w:rPr>
      </w:pPr>
    </w:p>
    <w:p w14:paraId="69E3B7E9" w14:textId="7100F293" w:rsidR="006563DB" w:rsidRDefault="006563DB" w:rsidP="006563DB">
      <w:pPr>
        <w:spacing w:after="0" w:line="256" w:lineRule="auto"/>
        <w:rPr>
          <w:rFonts w:eastAsiaTheme="minorEastAsia" w:cstheme="minorBidi"/>
          <w:b/>
        </w:rPr>
      </w:pPr>
      <w:r>
        <w:rPr>
          <w:b/>
        </w:rPr>
        <w:t>Avgiftsbelagd tillsyn enligt räddningslagen, räddningslagen (379/2011) 96 §</w:t>
      </w:r>
    </w:p>
    <w:tbl>
      <w:tblPr>
        <w:tblStyle w:val="TaulukkoRuudukko"/>
        <w:tblW w:w="0" w:type="auto"/>
        <w:tblInd w:w="0" w:type="dxa"/>
        <w:tblLook w:val="04A0" w:firstRow="1" w:lastRow="0" w:firstColumn="1" w:lastColumn="0" w:noHBand="0" w:noVBand="1"/>
      </w:tblPr>
      <w:tblGrid>
        <w:gridCol w:w="3980"/>
        <w:gridCol w:w="1822"/>
        <w:gridCol w:w="3816"/>
      </w:tblGrid>
      <w:tr w:rsidR="00F96A8A" w14:paraId="038A0A7C" w14:textId="77777777" w:rsidTr="00C6616A">
        <w:trPr>
          <w:trHeight w:val="285"/>
        </w:trPr>
        <w:tc>
          <w:tcPr>
            <w:tcW w:w="3980" w:type="dxa"/>
            <w:tcBorders>
              <w:top w:val="single" w:sz="8" w:space="0" w:color="auto"/>
              <w:left w:val="single" w:sz="8" w:space="0" w:color="auto"/>
              <w:bottom w:val="single" w:sz="8" w:space="0" w:color="auto"/>
              <w:right w:val="single" w:sz="8" w:space="0" w:color="auto"/>
            </w:tcBorders>
            <w:hideMark/>
          </w:tcPr>
          <w:p w14:paraId="60134BD8" w14:textId="77777777" w:rsidR="006563DB" w:rsidRPr="00C6616A" w:rsidRDefault="006563DB">
            <w:pPr>
              <w:spacing w:after="220"/>
            </w:pPr>
            <w:r>
              <w:rPr>
                <w:rFonts w:ascii="Arial" w:hAnsi="Arial"/>
                <w:b/>
              </w:rPr>
              <w:t>Åtgärd</w:t>
            </w:r>
          </w:p>
        </w:tc>
        <w:tc>
          <w:tcPr>
            <w:tcW w:w="1822" w:type="dxa"/>
            <w:tcBorders>
              <w:top w:val="single" w:sz="8" w:space="0" w:color="auto"/>
              <w:left w:val="single" w:sz="8" w:space="0" w:color="auto"/>
              <w:bottom w:val="single" w:sz="8" w:space="0" w:color="auto"/>
              <w:right w:val="single" w:sz="8" w:space="0" w:color="auto"/>
            </w:tcBorders>
            <w:hideMark/>
          </w:tcPr>
          <w:p w14:paraId="5F519461" w14:textId="77777777" w:rsidR="006563DB" w:rsidRPr="00C6616A" w:rsidRDefault="006563DB">
            <w:pPr>
              <w:spacing w:after="220"/>
            </w:pPr>
            <w:r>
              <w:rPr>
                <w:rFonts w:ascii="Arial" w:hAnsi="Arial"/>
                <w:b/>
              </w:rPr>
              <w:t>Avgift moms 0 %</w:t>
            </w:r>
          </w:p>
        </w:tc>
        <w:tc>
          <w:tcPr>
            <w:tcW w:w="3816" w:type="dxa"/>
            <w:tcBorders>
              <w:top w:val="single" w:sz="8" w:space="0" w:color="auto"/>
              <w:left w:val="single" w:sz="8" w:space="0" w:color="auto"/>
              <w:bottom w:val="single" w:sz="8" w:space="0" w:color="auto"/>
              <w:right w:val="single" w:sz="8" w:space="0" w:color="auto"/>
            </w:tcBorders>
            <w:hideMark/>
          </w:tcPr>
          <w:p w14:paraId="57B63131" w14:textId="77777777" w:rsidR="006563DB" w:rsidRPr="00C6616A" w:rsidRDefault="006563DB">
            <w:pPr>
              <w:spacing w:after="220"/>
            </w:pPr>
            <w:r>
              <w:rPr>
                <w:rFonts w:ascii="Arial" w:hAnsi="Arial"/>
                <w:b/>
              </w:rPr>
              <w:t>Observationer</w:t>
            </w:r>
          </w:p>
        </w:tc>
      </w:tr>
      <w:tr w:rsidR="00A41529" w14:paraId="03081DA0" w14:textId="77777777" w:rsidTr="00C6616A">
        <w:trPr>
          <w:trHeight w:hRule="exact" w:val="1134"/>
        </w:trPr>
        <w:tc>
          <w:tcPr>
            <w:tcW w:w="3980" w:type="dxa"/>
            <w:tcBorders>
              <w:top w:val="single" w:sz="8" w:space="0" w:color="auto"/>
              <w:left w:val="single" w:sz="8" w:space="0" w:color="auto"/>
              <w:right w:val="single" w:sz="8" w:space="0" w:color="auto"/>
            </w:tcBorders>
            <w:hideMark/>
          </w:tcPr>
          <w:p w14:paraId="61C0D6D1" w14:textId="619C1745" w:rsidR="00A41529" w:rsidRPr="006563DB" w:rsidRDefault="00A41529" w:rsidP="005531A6">
            <w:pPr>
              <w:spacing w:after="220"/>
              <w:rPr>
                <w:rFonts w:ascii="Arial" w:eastAsia="Arial" w:hAnsi="Arial" w:cs="Arial"/>
              </w:rPr>
            </w:pPr>
            <w:r>
              <w:rPr>
                <w:rFonts w:ascii="Arial" w:hAnsi="Arial"/>
              </w:rPr>
              <w:t xml:space="preserve">Periodisk brandsyn (företags-, anstalts- m.fl. A1-A6-objekt) </w:t>
            </w:r>
          </w:p>
        </w:tc>
        <w:tc>
          <w:tcPr>
            <w:tcW w:w="1822" w:type="dxa"/>
            <w:tcBorders>
              <w:top w:val="single" w:sz="8" w:space="0" w:color="auto"/>
              <w:left w:val="single" w:sz="8" w:space="0" w:color="auto"/>
              <w:bottom w:val="single" w:sz="8" w:space="0" w:color="auto"/>
              <w:right w:val="single" w:sz="8" w:space="0" w:color="auto"/>
            </w:tcBorders>
          </w:tcPr>
          <w:p w14:paraId="3DFDEA5D" w14:textId="77777777" w:rsidR="00A41529" w:rsidRDefault="00A41529" w:rsidP="006563DB">
            <w:pPr>
              <w:spacing w:after="220"/>
              <w:rPr>
                <w:rFonts w:ascii="Arial" w:eastAsia="Arial" w:hAnsi="Arial" w:cs="Arial"/>
              </w:rPr>
            </w:pPr>
          </w:p>
          <w:p w14:paraId="5114D4D7" w14:textId="77777777" w:rsidR="00A41529" w:rsidRDefault="00A41529" w:rsidP="006563DB">
            <w:pPr>
              <w:spacing w:after="220"/>
              <w:rPr>
                <w:rFonts w:ascii="Arial" w:eastAsia="Arial" w:hAnsi="Arial" w:cs="Arial"/>
              </w:rPr>
            </w:pPr>
          </w:p>
          <w:p w14:paraId="27361AE4" w14:textId="77777777" w:rsidR="00A41529" w:rsidRDefault="00A41529" w:rsidP="006563DB">
            <w:pPr>
              <w:spacing w:after="220"/>
              <w:rPr>
                <w:rFonts w:ascii="Arial" w:eastAsia="Arial" w:hAnsi="Arial" w:cs="Arial"/>
              </w:rPr>
            </w:pPr>
          </w:p>
        </w:tc>
        <w:tc>
          <w:tcPr>
            <w:tcW w:w="3816" w:type="dxa"/>
            <w:vMerge w:val="restart"/>
            <w:tcBorders>
              <w:top w:val="single" w:sz="8" w:space="0" w:color="auto"/>
              <w:left w:val="single" w:sz="8" w:space="0" w:color="auto"/>
              <w:right w:val="single" w:sz="8" w:space="0" w:color="auto"/>
            </w:tcBorders>
          </w:tcPr>
          <w:p w14:paraId="61B26E0C" w14:textId="33A0977C" w:rsidR="00A41529" w:rsidRPr="0018374B" w:rsidRDefault="00A41529">
            <w:pPr>
              <w:spacing w:after="220"/>
              <w:rPr>
                <w:rFonts w:ascii="Arial" w:eastAsia="Arial" w:hAnsi="Arial" w:cs="Arial"/>
                <w:sz w:val="16"/>
              </w:rPr>
            </w:pPr>
            <w:r>
              <w:rPr>
                <w:rFonts w:ascii="Arial" w:hAnsi="Arial"/>
                <w:sz w:val="16"/>
              </w:rPr>
              <w:t>I avgiften ingår utöver den kategoriandel som definierar tillsynsbesöket och som baserar sig på objektets verksamhet och särdrag även beredningsuppgifter och administrativa åtgärder i anslutning till inspektionen.</w:t>
            </w:r>
          </w:p>
          <w:p w14:paraId="0BEF745C" w14:textId="4C6ED45E" w:rsidR="005531A6" w:rsidRPr="0018374B" w:rsidRDefault="005531A6" w:rsidP="005531A6">
            <w:pPr>
              <w:spacing w:after="220"/>
              <w:rPr>
                <w:rFonts w:ascii="Arial" w:eastAsia="Arial" w:hAnsi="Arial" w:cs="Arial"/>
                <w:sz w:val="16"/>
              </w:rPr>
            </w:pPr>
            <w:r>
              <w:rPr>
                <w:rFonts w:ascii="Arial" w:hAnsi="Arial"/>
                <w:sz w:val="16"/>
              </w:rPr>
              <w:t>Kategori 1, t.ex. sjukhus, stora samlings- och affärslokaler, Seveso-objekt, inkl. 2 h objektsbesök</w:t>
            </w:r>
          </w:p>
          <w:p w14:paraId="71F2571B" w14:textId="597223F3" w:rsidR="005531A6" w:rsidRPr="0018374B" w:rsidRDefault="005531A6" w:rsidP="005531A6">
            <w:pPr>
              <w:spacing w:after="220"/>
              <w:rPr>
                <w:rFonts w:ascii="Arial" w:eastAsia="Arial" w:hAnsi="Arial" w:cs="Arial"/>
                <w:sz w:val="16"/>
              </w:rPr>
            </w:pPr>
            <w:r>
              <w:rPr>
                <w:rFonts w:ascii="Arial" w:hAnsi="Arial"/>
                <w:sz w:val="16"/>
              </w:rPr>
              <w:t>Kategori 2, t.ex. medelstora lokaler och kontorslokaler samt små industri- och lagerbyggnader samt objektshelheter bestående av flera byggnader, inkl. 1,5 h objektsbesök</w:t>
            </w:r>
          </w:p>
          <w:p w14:paraId="29BBF2AD" w14:textId="30EB0BB9" w:rsidR="005531A6" w:rsidRPr="0018374B" w:rsidRDefault="005531A6">
            <w:pPr>
              <w:spacing w:after="220"/>
              <w:rPr>
                <w:rFonts w:ascii="Arial" w:eastAsia="Arial" w:hAnsi="Arial" w:cs="Arial"/>
                <w:sz w:val="16"/>
              </w:rPr>
            </w:pPr>
            <w:r>
              <w:rPr>
                <w:rFonts w:ascii="Arial" w:hAnsi="Arial"/>
                <w:sz w:val="16"/>
              </w:rPr>
              <w:t>Kategori 3, t.ex. små samlings-, affärs- och kontorslokaler samt små industri- och lagerbyggnader, inkl. 1 h objektsbesök</w:t>
            </w:r>
          </w:p>
          <w:p w14:paraId="1534BEAB" w14:textId="4940A58E" w:rsidR="00F96A8A" w:rsidRPr="0018374B" w:rsidRDefault="00F96A8A">
            <w:pPr>
              <w:spacing w:after="220"/>
              <w:rPr>
                <w:rFonts w:ascii="Arial" w:eastAsia="Arial" w:hAnsi="Arial" w:cs="Arial"/>
                <w:sz w:val="16"/>
              </w:rPr>
            </w:pPr>
            <w:r>
              <w:rPr>
                <w:rFonts w:ascii="Arial" w:hAnsi="Arial"/>
                <w:sz w:val="16"/>
              </w:rPr>
              <w:t>Om besökstiden överstiger den tid som ingår i objektsbesöket med mer än 30 minuter, tas för den överskridande tiden ut en extra timdebitering på 78 €/h.</w:t>
            </w:r>
          </w:p>
          <w:p w14:paraId="238366B6" w14:textId="77777777" w:rsidR="00F96A8A" w:rsidRPr="0018374B" w:rsidRDefault="00F96A8A">
            <w:pPr>
              <w:spacing w:after="220"/>
              <w:rPr>
                <w:rFonts w:ascii="Arial" w:eastAsia="Arial" w:hAnsi="Arial" w:cs="Arial"/>
                <w:sz w:val="16"/>
              </w:rPr>
            </w:pPr>
          </w:p>
        </w:tc>
      </w:tr>
      <w:tr w:rsidR="00A41529" w14:paraId="4C5E8BA4" w14:textId="77777777" w:rsidTr="004A2FAD">
        <w:trPr>
          <w:trHeight w:hRule="exact" w:val="1021"/>
        </w:trPr>
        <w:tc>
          <w:tcPr>
            <w:tcW w:w="3980" w:type="dxa"/>
            <w:tcBorders>
              <w:top w:val="single" w:sz="8" w:space="0" w:color="auto"/>
              <w:left w:val="single" w:sz="8" w:space="0" w:color="auto"/>
              <w:right w:val="single" w:sz="8" w:space="0" w:color="auto"/>
            </w:tcBorders>
          </w:tcPr>
          <w:p w14:paraId="69653DDE" w14:textId="77777777" w:rsidR="00A41529" w:rsidRDefault="00A41529" w:rsidP="00A41529">
            <w:pPr>
              <w:pStyle w:val="Luettelokappale"/>
              <w:numPr>
                <w:ilvl w:val="0"/>
                <w:numId w:val="2"/>
              </w:numPr>
              <w:spacing w:after="220"/>
              <w:rPr>
                <w:rFonts w:ascii="Arial" w:eastAsia="Arial" w:hAnsi="Arial" w:cs="Arial"/>
              </w:rPr>
            </w:pPr>
            <w:r>
              <w:rPr>
                <w:rFonts w:ascii="Arial" w:hAnsi="Arial"/>
              </w:rPr>
              <w:t>Tillsynsobjektskategori 1</w:t>
            </w:r>
          </w:p>
          <w:p w14:paraId="5730542F" w14:textId="2A385147" w:rsidR="00A41529" w:rsidRPr="0018374B" w:rsidRDefault="00A41529" w:rsidP="0018374B">
            <w:pPr>
              <w:spacing w:after="220"/>
              <w:rPr>
                <w:rFonts w:ascii="Arial" w:eastAsia="Arial" w:hAnsi="Arial" w:cs="Arial"/>
              </w:rPr>
            </w:pPr>
          </w:p>
        </w:tc>
        <w:tc>
          <w:tcPr>
            <w:tcW w:w="1822" w:type="dxa"/>
            <w:tcBorders>
              <w:top w:val="single" w:sz="8" w:space="0" w:color="auto"/>
              <w:left w:val="single" w:sz="8" w:space="0" w:color="auto"/>
              <w:bottom w:val="single" w:sz="8" w:space="0" w:color="auto"/>
              <w:right w:val="single" w:sz="8" w:space="0" w:color="auto"/>
            </w:tcBorders>
          </w:tcPr>
          <w:p w14:paraId="741A78A5" w14:textId="4C30C6E7" w:rsidR="00A41529" w:rsidRDefault="00C252E2" w:rsidP="006563DB">
            <w:pPr>
              <w:spacing w:after="220"/>
              <w:rPr>
                <w:rFonts w:ascii="Arial" w:eastAsia="Arial" w:hAnsi="Arial" w:cs="Arial"/>
              </w:rPr>
            </w:pPr>
            <w:r>
              <w:rPr>
                <w:rFonts w:ascii="Arial" w:hAnsi="Arial"/>
              </w:rPr>
              <w:t>364,00 €</w:t>
            </w:r>
          </w:p>
        </w:tc>
        <w:tc>
          <w:tcPr>
            <w:tcW w:w="3816" w:type="dxa"/>
            <w:vMerge/>
            <w:tcBorders>
              <w:left w:val="single" w:sz="8" w:space="0" w:color="auto"/>
              <w:right w:val="single" w:sz="8" w:space="0" w:color="auto"/>
            </w:tcBorders>
          </w:tcPr>
          <w:p w14:paraId="36934F86" w14:textId="77777777" w:rsidR="00A41529" w:rsidRDefault="00A41529">
            <w:pPr>
              <w:spacing w:after="220"/>
              <w:rPr>
                <w:rFonts w:ascii="Arial" w:eastAsia="Arial" w:hAnsi="Arial" w:cs="Arial"/>
              </w:rPr>
            </w:pPr>
          </w:p>
        </w:tc>
      </w:tr>
      <w:tr w:rsidR="00A41529" w14:paraId="06BAB123" w14:textId="77777777" w:rsidTr="004A2FAD">
        <w:trPr>
          <w:trHeight w:hRule="exact" w:val="1021"/>
        </w:trPr>
        <w:tc>
          <w:tcPr>
            <w:tcW w:w="3980" w:type="dxa"/>
            <w:tcBorders>
              <w:top w:val="single" w:sz="8" w:space="0" w:color="auto"/>
              <w:left w:val="single" w:sz="8" w:space="0" w:color="auto"/>
              <w:right w:val="single" w:sz="8" w:space="0" w:color="auto"/>
            </w:tcBorders>
          </w:tcPr>
          <w:p w14:paraId="621FE2C0" w14:textId="77777777" w:rsidR="00A41529" w:rsidRDefault="00A41529" w:rsidP="00A41529">
            <w:pPr>
              <w:pStyle w:val="Luettelokappale"/>
              <w:numPr>
                <w:ilvl w:val="0"/>
                <w:numId w:val="2"/>
              </w:numPr>
              <w:spacing w:after="220" w:line="360" w:lineRule="auto"/>
              <w:rPr>
                <w:rFonts w:ascii="Arial" w:eastAsia="Arial" w:hAnsi="Arial" w:cs="Arial"/>
              </w:rPr>
            </w:pPr>
            <w:r>
              <w:rPr>
                <w:rFonts w:ascii="Arial" w:hAnsi="Arial"/>
              </w:rPr>
              <w:t>Tillsynsobjektskategori 2</w:t>
            </w:r>
          </w:p>
          <w:p w14:paraId="5BC9CFFD" w14:textId="77777777" w:rsidR="00A41529" w:rsidRDefault="00A41529" w:rsidP="0018374B">
            <w:pPr>
              <w:pStyle w:val="Luettelokappale"/>
              <w:spacing w:after="220" w:line="360" w:lineRule="auto"/>
              <w:ind w:left="1070"/>
              <w:rPr>
                <w:rFonts w:ascii="Arial" w:eastAsia="Arial" w:hAnsi="Arial" w:cs="Arial"/>
              </w:rPr>
            </w:pPr>
          </w:p>
        </w:tc>
        <w:tc>
          <w:tcPr>
            <w:tcW w:w="1822" w:type="dxa"/>
            <w:tcBorders>
              <w:top w:val="single" w:sz="8" w:space="0" w:color="auto"/>
              <w:left w:val="single" w:sz="8" w:space="0" w:color="auto"/>
              <w:bottom w:val="single" w:sz="8" w:space="0" w:color="auto"/>
              <w:right w:val="single" w:sz="8" w:space="0" w:color="auto"/>
            </w:tcBorders>
          </w:tcPr>
          <w:p w14:paraId="683D0788" w14:textId="6CA92313" w:rsidR="00A41529" w:rsidRDefault="00C252E2" w:rsidP="006563DB">
            <w:pPr>
              <w:spacing w:after="220"/>
              <w:rPr>
                <w:rFonts w:ascii="Arial" w:eastAsia="Arial" w:hAnsi="Arial" w:cs="Arial"/>
              </w:rPr>
            </w:pPr>
            <w:r>
              <w:rPr>
                <w:rFonts w:ascii="Arial" w:hAnsi="Arial"/>
              </w:rPr>
              <w:t>290,00 €</w:t>
            </w:r>
          </w:p>
        </w:tc>
        <w:tc>
          <w:tcPr>
            <w:tcW w:w="3816" w:type="dxa"/>
            <w:vMerge/>
            <w:tcBorders>
              <w:left w:val="single" w:sz="8" w:space="0" w:color="auto"/>
              <w:right w:val="single" w:sz="8" w:space="0" w:color="auto"/>
            </w:tcBorders>
          </w:tcPr>
          <w:p w14:paraId="0856D875" w14:textId="77777777" w:rsidR="00A41529" w:rsidRDefault="00A41529">
            <w:pPr>
              <w:spacing w:after="220"/>
              <w:rPr>
                <w:rFonts w:ascii="Arial" w:eastAsia="Arial" w:hAnsi="Arial" w:cs="Arial"/>
              </w:rPr>
            </w:pPr>
          </w:p>
        </w:tc>
      </w:tr>
      <w:tr w:rsidR="00A41529" w14:paraId="469FE5C2" w14:textId="77777777" w:rsidTr="004A2FAD">
        <w:trPr>
          <w:trHeight w:hRule="exact" w:val="1021"/>
        </w:trPr>
        <w:tc>
          <w:tcPr>
            <w:tcW w:w="3980" w:type="dxa"/>
            <w:tcBorders>
              <w:top w:val="single" w:sz="8" w:space="0" w:color="auto"/>
              <w:left w:val="single" w:sz="8" w:space="0" w:color="auto"/>
              <w:right w:val="single" w:sz="8" w:space="0" w:color="auto"/>
            </w:tcBorders>
          </w:tcPr>
          <w:p w14:paraId="72FBEFCB" w14:textId="538A07BD" w:rsidR="00A41529" w:rsidRPr="0018374B" w:rsidRDefault="00A41529" w:rsidP="0018374B">
            <w:pPr>
              <w:pStyle w:val="Luettelokappale"/>
              <w:numPr>
                <w:ilvl w:val="0"/>
                <w:numId w:val="2"/>
              </w:numPr>
              <w:spacing w:after="220" w:line="360" w:lineRule="auto"/>
              <w:rPr>
                <w:rFonts w:ascii="Arial" w:eastAsia="Arial" w:hAnsi="Arial" w:cs="Arial"/>
              </w:rPr>
            </w:pPr>
            <w:r>
              <w:rPr>
                <w:rFonts w:ascii="Arial" w:hAnsi="Arial"/>
              </w:rPr>
              <w:t>Tillsynsobjektskategori 3</w:t>
            </w:r>
          </w:p>
        </w:tc>
        <w:tc>
          <w:tcPr>
            <w:tcW w:w="1822" w:type="dxa"/>
            <w:tcBorders>
              <w:top w:val="single" w:sz="8" w:space="0" w:color="auto"/>
              <w:left w:val="single" w:sz="8" w:space="0" w:color="auto"/>
              <w:bottom w:val="single" w:sz="8" w:space="0" w:color="auto"/>
              <w:right w:val="single" w:sz="8" w:space="0" w:color="auto"/>
            </w:tcBorders>
          </w:tcPr>
          <w:p w14:paraId="462B4398" w14:textId="397FC4D5" w:rsidR="00A41529" w:rsidRDefault="00C252E2" w:rsidP="006563DB">
            <w:pPr>
              <w:spacing w:after="220"/>
              <w:rPr>
                <w:rFonts w:ascii="Arial" w:eastAsia="Arial" w:hAnsi="Arial" w:cs="Arial"/>
              </w:rPr>
            </w:pPr>
            <w:r>
              <w:rPr>
                <w:rFonts w:ascii="Arial" w:hAnsi="Arial"/>
              </w:rPr>
              <w:t>231,00 €</w:t>
            </w:r>
          </w:p>
        </w:tc>
        <w:tc>
          <w:tcPr>
            <w:tcW w:w="3816" w:type="dxa"/>
            <w:vMerge/>
            <w:tcBorders>
              <w:left w:val="single" w:sz="8" w:space="0" w:color="auto"/>
              <w:bottom w:val="single" w:sz="8" w:space="0" w:color="auto"/>
              <w:right w:val="single" w:sz="8" w:space="0" w:color="auto"/>
            </w:tcBorders>
          </w:tcPr>
          <w:p w14:paraId="04CCFA03" w14:textId="77777777" w:rsidR="00A41529" w:rsidRDefault="00A41529">
            <w:pPr>
              <w:spacing w:after="220"/>
              <w:rPr>
                <w:rFonts w:ascii="Arial" w:eastAsia="Arial" w:hAnsi="Arial" w:cs="Arial"/>
              </w:rPr>
            </w:pPr>
          </w:p>
        </w:tc>
      </w:tr>
      <w:tr w:rsidR="00F96A8A" w14:paraId="18E32A34" w14:textId="77777777" w:rsidTr="003E2D4A">
        <w:trPr>
          <w:trHeight w:hRule="exact" w:val="964"/>
        </w:trPr>
        <w:tc>
          <w:tcPr>
            <w:tcW w:w="3980" w:type="dxa"/>
            <w:tcBorders>
              <w:top w:val="single" w:sz="8" w:space="0" w:color="auto"/>
              <w:left w:val="single" w:sz="8" w:space="0" w:color="auto"/>
              <w:bottom w:val="single" w:sz="8" w:space="0" w:color="auto"/>
              <w:right w:val="single" w:sz="8" w:space="0" w:color="auto"/>
            </w:tcBorders>
            <w:hideMark/>
          </w:tcPr>
          <w:p w14:paraId="7F3E24CE" w14:textId="31EA6BDB" w:rsidR="006563DB" w:rsidRPr="00120ACD" w:rsidRDefault="00BD6624">
            <w:pPr>
              <w:spacing w:after="220"/>
              <w:rPr>
                <w:rFonts w:ascii="Arial" w:eastAsia="Arial" w:hAnsi="Arial" w:cs="Arial"/>
                <w:sz w:val="21"/>
                <w:szCs w:val="21"/>
              </w:rPr>
            </w:pPr>
            <w:r w:rsidRPr="00120ACD">
              <w:rPr>
                <w:rFonts w:ascii="Arial" w:hAnsi="Arial"/>
                <w:sz w:val="21"/>
                <w:szCs w:val="21"/>
              </w:rPr>
              <w:t>Periodisk brandsyn (bostadsbyggnader, inkl. tillsyn av småhus med självutvärderingsmetoden)</w:t>
            </w:r>
          </w:p>
        </w:tc>
        <w:tc>
          <w:tcPr>
            <w:tcW w:w="1822" w:type="dxa"/>
            <w:tcBorders>
              <w:top w:val="single" w:sz="8" w:space="0" w:color="auto"/>
              <w:left w:val="single" w:sz="8" w:space="0" w:color="auto"/>
              <w:bottom w:val="single" w:sz="8" w:space="0" w:color="auto"/>
              <w:right w:val="single" w:sz="8" w:space="0" w:color="auto"/>
            </w:tcBorders>
          </w:tcPr>
          <w:p w14:paraId="0E16F12B" w14:textId="77777777" w:rsidR="006563DB" w:rsidRDefault="00A41529">
            <w:pPr>
              <w:spacing w:after="220"/>
              <w:rPr>
                <w:rFonts w:ascii="Arial" w:eastAsia="Arial" w:hAnsi="Arial" w:cs="Arial"/>
              </w:rPr>
            </w:pPr>
            <w:r>
              <w:rPr>
                <w:rFonts w:ascii="Arial" w:hAnsi="Arial"/>
              </w:rPr>
              <w:t>Avgiftsfri</w:t>
            </w:r>
          </w:p>
        </w:tc>
        <w:tc>
          <w:tcPr>
            <w:tcW w:w="3816" w:type="dxa"/>
            <w:tcBorders>
              <w:top w:val="single" w:sz="8" w:space="0" w:color="auto"/>
              <w:left w:val="single" w:sz="8" w:space="0" w:color="auto"/>
              <w:bottom w:val="single" w:sz="8" w:space="0" w:color="auto"/>
              <w:right w:val="single" w:sz="8" w:space="0" w:color="auto"/>
            </w:tcBorders>
          </w:tcPr>
          <w:p w14:paraId="212EBBB1" w14:textId="77777777" w:rsidR="006563DB" w:rsidRDefault="006563DB">
            <w:pPr>
              <w:spacing w:after="220"/>
              <w:rPr>
                <w:rFonts w:ascii="Arial" w:eastAsia="Arial" w:hAnsi="Arial" w:cs="Arial"/>
              </w:rPr>
            </w:pPr>
          </w:p>
        </w:tc>
      </w:tr>
      <w:tr w:rsidR="00F96A8A" w14:paraId="7980A62C" w14:textId="77777777" w:rsidTr="003E2D4A">
        <w:trPr>
          <w:trHeight w:hRule="exact" w:val="964"/>
        </w:trPr>
        <w:tc>
          <w:tcPr>
            <w:tcW w:w="3980" w:type="dxa"/>
            <w:tcBorders>
              <w:top w:val="single" w:sz="8" w:space="0" w:color="auto"/>
              <w:left w:val="single" w:sz="8" w:space="0" w:color="auto"/>
              <w:bottom w:val="single" w:sz="8" w:space="0" w:color="auto"/>
              <w:right w:val="single" w:sz="8" w:space="0" w:color="auto"/>
            </w:tcBorders>
            <w:hideMark/>
          </w:tcPr>
          <w:p w14:paraId="5DD6C982" w14:textId="77777777" w:rsidR="006563DB" w:rsidRDefault="006563DB">
            <w:pPr>
              <w:spacing w:after="220"/>
              <w:rPr>
                <w:rFonts w:ascii="Arial" w:eastAsia="Arial" w:hAnsi="Arial" w:cs="Arial"/>
              </w:rPr>
            </w:pPr>
            <w:r>
              <w:rPr>
                <w:rFonts w:ascii="Arial" w:hAnsi="Arial"/>
              </w:rPr>
              <w:t>Brandsyn vid offentlig tillställning</w:t>
            </w:r>
          </w:p>
        </w:tc>
        <w:tc>
          <w:tcPr>
            <w:tcW w:w="1822" w:type="dxa"/>
            <w:tcBorders>
              <w:top w:val="single" w:sz="8" w:space="0" w:color="auto"/>
              <w:left w:val="single" w:sz="8" w:space="0" w:color="auto"/>
              <w:bottom w:val="single" w:sz="8" w:space="0" w:color="auto"/>
              <w:right w:val="single" w:sz="8" w:space="0" w:color="auto"/>
            </w:tcBorders>
          </w:tcPr>
          <w:p w14:paraId="13FD580C" w14:textId="2360DCF5" w:rsidR="006563DB" w:rsidRDefault="002C15DF">
            <w:pPr>
              <w:rPr>
                <w:rFonts w:ascii="Arial" w:eastAsia="Arial" w:hAnsi="Arial" w:cs="Arial"/>
              </w:rPr>
            </w:pPr>
            <w:r>
              <w:rPr>
                <w:rFonts w:ascii="Arial" w:hAnsi="Arial"/>
              </w:rPr>
              <w:t>196,00 €</w:t>
            </w:r>
          </w:p>
        </w:tc>
        <w:tc>
          <w:tcPr>
            <w:tcW w:w="3816" w:type="dxa"/>
            <w:tcBorders>
              <w:top w:val="single" w:sz="8" w:space="0" w:color="auto"/>
              <w:left w:val="single" w:sz="8" w:space="0" w:color="auto"/>
              <w:bottom w:val="single" w:sz="8" w:space="0" w:color="auto"/>
              <w:right w:val="single" w:sz="8" w:space="0" w:color="auto"/>
            </w:tcBorders>
          </w:tcPr>
          <w:p w14:paraId="79277356" w14:textId="3BA92A7B" w:rsidR="006563DB" w:rsidRDefault="00F96A8A">
            <w:pPr>
              <w:rPr>
                <w:rFonts w:ascii="Arial" w:eastAsia="Arial" w:hAnsi="Arial" w:cs="Arial"/>
              </w:rPr>
            </w:pPr>
            <w:r>
              <w:rPr>
                <w:rFonts w:ascii="Arial" w:hAnsi="Arial"/>
                <w:sz w:val="16"/>
              </w:rPr>
              <w:t>Innehåller max. 1 h objektsbesök. Om besökstiden överskrids med mer än 30 min, tas för den överskridande tiden ut en extra timdebitering 78 €/h</w:t>
            </w:r>
          </w:p>
        </w:tc>
      </w:tr>
      <w:tr w:rsidR="00F96A8A" w14:paraId="49426A08" w14:textId="77777777" w:rsidTr="00BD6624">
        <w:trPr>
          <w:trHeight w:hRule="exact" w:val="964"/>
        </w:trPr>
        <w:tc>
          <w:tcPr>
            <w:tcW w:w="3980" w:type="dxa"/>
            <w:tcBorders>
              <w:top w:val="single" w:sz="8" w:space="0" w:color="auto"/>
              <w:left w:val="single" w:sz="8" w:space="0" w:color="auto"/>
              <w:bottom w:val="single" w:sz="8" w:space="0" w:color="auto"/>
              <w:right w:val="single" w:sz="8" w:space="0" w:color="auto"/>
            </w:tcBorders>
            <w:hideMark/>
          </w:tcPr>
          <w:p w14:paraId="5773D09B" w14:textId="7FB681EB" w:rsidR="006563DB" w:rsidRDefault="006563DB">
            <w:pPr>
              <w:rPr>
                <w:rFonts w:ascii="Arial" w:eastAsia="Arial" w:hAnsi="Arial" w:cs="Arial"/>
              </w:rPr>
            </w:pPr>
            <w:r>
              <w:rPr>
                <w:rFonts w:ascii="Arial" w:hAnsi="Arial"/>
              </w:rPr>
              <w:t>Processen för tillsyn av riskbostäder på basis av en anmälan enligt 42 § i räddningslagen</w:t>
            </w:r>
          </w:p>
        </w:tc>
        <w:tc>
          <w:tcPr>
            <w:tcW w:w="1822" w:type="dxa"/>
            <w:tcBorders>
              <w:top w:val="single" w:sz="8" w:space="0" w:color="auto"/>
              <w:left w:val="single" w:sz="8" w:space="0" w:color="auto"/>
              <w:bottom w:val="single" w:sz="8" w:space="0" w:color="auto"/>
              <w:right w:val="single" w:sz="8" w:space="0" w:color="auto"/>
            </w:tcBorders>
          </w:tcPr>
          <w:p w14:paraId="1116B66F" w14:textId="77777777" w:rsidR="006563DB" w:rsidRDefault="00A41529">
            <w:pPr>
              <w:rPr>
                <w:rFonts w:ascii="Arial" w:eastAsia="Arial" w:hAnsi="Arial" w:cs="Arial"/>
              </w:rPr>
            </w:pPr>
            <w:r>
              <w:rPr>
                <w:rFonts w:ascii="Arial" w:hAnsi="Arial"/>
              </w:rPr>
              <w:t>Avgiftsfri</w:t>
            </w:r>
          </w:p>
        </w:tc>
        <w:tc>
          <w:tcPr>
            <w:tcW w:w="3816" w:type="dxa"/>
            <w:tcBorders>
              <w:top w:val="single" w:sz="8" w:space="0" w:color="auto"/>
              <w:left w:val="single" w:sz="8" w:space="0" w:color="auto"/>
              <w:bottom w:val="single" w:sz="8" w:space="0" w:color="auto"/>
              <w:right w:val="single" w:sz="8" w:space="0" w:color="auto"/>
            </w:tcBorders>
          </w:tcPr>
          <w:p w14:paraId="2F6177EC" w14:textId="6E144DFF" w:rsidR="006563DB" w:rsidRDefault="006563DB">
            <w:pPr>
              <w:rPr>
                <w:rFonts w:ascii="Arial" w:eastAsia="Arial" w:hAnsi="Arial" w:cs="Arial"/>
              </w:rPr>
            </w:pPr>
          </w:p>
        </w:tc>
      </w:tr>
      <w:tr w:rsidR="00F96A8A" w14:paraId="71642FC2" w14:textId="77777777" w:rsidTr="003E2D4A">
        <w:trPr>
          <w:trHeight w:hRule="exact" w:val="1418"/>
        </w:trPr>
        <w:tc>
          <w:tcPr>
            <w:tcW w:w="3980" w:type="dxa"/>
            <w:tcBorders>
              <w:top w:val="single" w:sz="8" w:space="0" w:color="auto"/>
              <w:left w:val="single" w:sz="8" w:space="0" w:color="auto"/>
              <w:bottom w:val="single" w:sz="8" w:space="0" w:color="auto"/>
              <w:right w:val="single" w:sz="8" w:space="0" w:color="auto"/>
            </w:tcBorders>
            <w:hideMark/>
          </w:tcPr>
          <w:p w14:paraId="13EA91D2" w14:textId="3E7F7419" w:rsidR="00B45B69" w:rsidRDefault="006563DB">
            <w:pPr>
              <w:spacing w:after="220"/>
              <w:rPr>
                <w:rFonts w:ascii="Arial" w:eastAsia="Arial" w:hAnsi="Arial" w:cs="Arial"/>
              </w:rPr>
            </w:pPr>
            <w:r>
              <w:rPr>
                <w:rFonts w:ascii="Arial" w:hAnsi="Arial"/>
              </w:rPr>
              <w:t>Annat inspektionsbesök som inte är regelbundet</w:t>
            </w:r>
          </w:p>
        </w:tc>
        <w:tc>
          <w:tcPr>
            <w:tcW w:w="1822" w:type="dxa"/>
            <w:tcBorders>
              <w:top w:val="single" w:sz="8" w:space="0" w:color="auto"/>
              <w:left w:val="single" w:sz="8" w:space="0" w:color="auto"/>
              <w:bottom w:val="single" w:sz="8" w:space="0" w:color="auto"/>
              <w:right w:val="single" w:sz="8" w:space="0" w:color="auto"/>
            </w:tcBorders>
          </w:tcPr>
          <w:p w14:paraId="28E8E1C2" w14:textId="3F24FFE8" w:rsidR="006563DB" w:rsidRDefault="00EE5269">
            <w:pPr>
              <w:spacing w:after="220"/>
              <w:rPr>
                <w:rFonts w:ascii="Arial" w:eastAsia="Arial" w:hAnsi="Arial" w:cs="Arial"/>
              </w:rPr>
            </w:pPr>
            <w:r>
              <w:rPr>
                <w:rFonts w:ascii="Arial" w:hAnsi="Arial"/>
              </w:rPr>
              <w:t>196,00 €</w:t>
            </w:r>
          </w:p>
        </w:tc>
        <w:tc>
          <w:tcPr>
            <w:tcW w:w="3816" w:type="dxa"/>
            <w:tcBorders>
              <w:top w:val="single" w:sz="8" w:space="0" w:color="auto"/>
              <w:left w:val="single" w:sz="8" w:space="0" w:color="auto"/>
              <w:bottom w:val="single" w:sz="8" w:space="0" w:color="auto"/>
              <w:right w:val="single" w:sz="8" w:space="0" w:color="auto"/>
            </w:tcBorders>
            <w:hideMark/>
          </w:tcPr>
          <w:p w14:paraId="0929995C" w14:textId="360D49D0" w:rsidR="006563DB" w:rsidRPr="00120ACD" w:rsidRDefault="006563DB">
            <w:pPr>
              <w:spacing w:after="220"/>
              <w:rPr>
                <w:rFonts w:ascii="Arial" w:eastAsia="Arial" w:hAnsi="Arial" w:cs="Arial"/>
                <w:sz w:val="15"/>
                <w:szCs w:val="15"/>
              </w:rPr>
            </w:pPr>
            <w:r w:rsidRPr="00120ACD">
              <w:rPr>
                <w:rFonts w:ascii="Arial" w:hAnsi="Arial"/>
                <w:sz w:val="15"/>
                <w:szCs w:val="15"/>
              </w:rPr>
              <w:t>Begärd eller motsvarande extra brandsyn, exkl. tillsyn som räddningsmyndigheten på eget initiativ inlett</w:t>
            </w:r>
          </w:p>
          <w:p w14:paraId="1BED15A6" w14:textId="7A0EBA69" w:rsidR="00F96A8A" w:rsidRPr="00120ACD" w:rsidRDefault="00F96A8A">
            <w:pPr>
              <w:spacing w:after="220"/>
              <w:rPr>
                <w:rFonts w:ascii="Arial" w:eastAsia="Arial" w:hAnsi="Arial" w:cs="Arial"/>
                <w:sz w:val="15"/>
                <w:szCs w:val="15"/>
              </w:rPr>
            </w:pPr>
            <w:r w:rsidRPr="00120ACD">
              <w:rPr>
                <w:rFonts w:ascii="Arial" w:hAnsi="Arial"/>
                <w:sz w:val="15"/>
                <w:szCs w:val="15"/>
              </w:rPr>
              <w:t>Innehåller max. 1 h objektsbesök. Om besökstiden överskrids med mer än 30 min, tas för den överskridande tiden ut en extra timdebitering 78 €/h</w:t>
            </w:r>
          </w:p>
        </w:tc>
      </w:tr>
      <w:tr w:rsidR="00914401" w14:paraId="099D1142" w14:textId="77777777" w:rsidTr="003E2D4A">
        <w:trPr>
          <w:trHeight w:hRule="exact" w:val="1418"/>
        </w:trPr>
        <w:tc>
          <w:tcPr>
            <w:tcW w:w="3980" w:type="dxa"/>
            <w:tcBorders>
              <w:top w:val="single" w:sz="8" w:space="0" w:color="auto"/>
              <w:left w:val="single" w:sz="8" w:space="0" w:color="auto"/>
              <w:bottom w:val="single" w:sz="8" w:space="0" w:color="auto"/>
              <w:right w:val="single" w:sz="8" w:space="0" w:color="auto"/>
            </w:tcBorders>
          </w:tcPr>
          <w:p w14:paraId="370CCCDD" w14:textId="2BA8050D" w:rsidR="00914401" w:rsidRDefault="00914401">
            <w:pPr>
              <w:spacing w:after="220"/>
              <w:rPr>
                <w:rFonts w:ascii="Arial" w:eastAsia="Arial" w:hAnsi="Arial" w:cs="Arial"/>
              </w:rPr>
            </w:pPr>
            <w:r>
              <w:rPr>
                <w:rFonts w:ascii="Arial" w:hAnsi="Arial"/>
              </w:rPr>
              <w:t xml:space="preserve">Annat inspektionsbesök som inte är regelbundet (bostadshus) </w:t>
            </w:r>
          </w:p>
        </w:tc>
        <w:tc>
          <w:tcPr>
            <w:tcW w:w="1822" w:type="dxa"/>
            <w:tcBorders>
              <w:top w:val="single" w:sz="8" w:space="0" w:color="auto"/>
              <w:left w:val="single" w:sz="8" w:space="0" w:color="auto"/>
              <w:bottom w:val="single" w:sz="8" w:space="0" w:color="auto"/>
              <w:right w:val="single" w:sz="8" w:space="0" w:color="auto"/>
            </w:tcBorders>
          </w:tcPr>
          <w:p w14:paraId="011C1A1F" w14:textId="4A97AD4A" w:rsidR="00914401" w:rsidRDefault="00914401">
            <w:pPr>
              <w:spacing w:after="220"/>
              <w:rPr>
                <w:rFonts w:ascii="Arial" w:eastAsia="Arial" w:hAnsi="Arial" w:cs="Arial"/>
              </w:rPr>
            </w:pPr>
            <w:r>
              <w:rPr>
                <w:rFonts w:ascii="Arial" w:hAnsi="Arial"/>
              </w:rPr>
              <w:t>157,00 €</w:t>
            </w:r>
          </w:p>
        </w:tc>
        <w:tc>
          <w:tcPr>
            <w:tcW w:w="3816" w:type="dxa"/>
            <w:tcBorders>
              <w:top w:val="single" w:sz="8" w:space="0" w:color="auto"/>
              <w:left w:val="single" w:sz="8" w:space="0" w:color="auto"/>
              <w:bottom w:val="single" w:sz="8" w:space="0" w:color="auto"/>
              <w:right w:val="single" w:sz="8" w:space="0" w:color="auto"/>
            </w:tcBorders>
          </w:tcPr>
          <w:p w14:paraId="76D77934" w14:textId="77777777" w:rsidR="00914401" w:rsidRPr="00120ACD" w:rsidRDefault="00914401" w:rsidP="00914401">
            <w:pPr>
              <w:spacing w:after="220"/>
              <w:rPr>
                <w:rFonts w:ascii="Arial" w:eastAsia="Arial" w:hAnsi="Arial" w:cs="Arial"/>
                <w:sz w:val="15"/>
                <w:szCs w:val="15"/>
              </w:rPr>
            </w:pPr>
            <w:r w:rsidRPr="00120ACD">
              <w:rPr>
                <w:rFonts w:ascii="Arial" w:hAnsi="Arial"/>
                <w:sz w:val="15"/>
                <w:szCs w:val="15"/>
              </w:rPr>
              <w:t>Begärd eller motsvarande extra brandsyn, gäller inte tillsyn som räddningsmyndigheten på eget initiativ inlett</w:t>
            </w:r>
          </w:p>
          <w:p w14:paraId="2E22D6F4" w14:textId="1B0518EB" w:rsidR="00914401" w:rsidRPr="00120ACD" w:rsidRDefault="00914401" w:rsidP="00914401">
            <w:pPr>
              <w:spacing w:after="220"/>
              <w:rPr>
                <w:rFonts w:ascii="Arial" w:eastAsia="Arial" w:hAnsi="Arial" w:cs="Arial"/>
                <w:sz w:val="15"/>
                <w:szCs w:val="15"/>
              </w:rPr>
            </w:pPr>
            <w:r w:rsidRPr="00120ACD">
              <w:rPr>
                <w:rFonts w:ascii="Arial" w:hAnsi="Arial"/>
                <w:sz w:val="15"/>
                <w:szCs w:val="15"/>
              </w:rPr>
              <w:t>Innehåller max. 1 h objektsbesök. Om besökstiden överskrids med mer än 30 min, tas för den överskridande tiden ut en extra timdebitering 78 €/h</w:t>
            </w:r>
          </w:p>
        </w:tc>
      </w:tr>
      <w:tr w:rsidR="00F96A8A" w14:paraId="738DEA25" w14:textId="77777777" w:rsidTr="003E2D4A">
        <w:trPr>
          <w:trHeight w:hRule="exact" w:val="964"/>
        </w:trPr>
        <w:tc>
          <w:tcPr>
            <w:tcW w:w="3980" w:type="dxa"/>
            <w:tcBorders>
              <w:top w:val="single" w:sz="8" w:space="0" w:color="auto"/>
              <w:left w:val="single" w:sz="8" w:space="0" w:color="auto"/>
              <w:bottom w:val="single" w:sz="8" w:space="0" w:color="auto"/>
              <w:right w:val="single" w:sz="8" w:space="0" w:color="auto"/>
            </w:tcBorders>
            <w:hideMark/>
          </w:tcPr>
          <w:p w14:paraId="2B8916FF" w14:textId="3519C6BE" w:rsidR="006563DB" w:rsidRDefault="006563DB">
            <w:pPr>
              <w:rPr>
                <w:rFonts w:ascii="Arial" w:eastAsia="Arial" w:hAnsi="Arial" w:cs="Arial"/>
              </w:rPr>
            </w:pPr>
            <w:r>
              <w:rPr>
                <w:rFonts w:ascii="Arial" w:hAnsi="Arial"/>
              </w:rPr>
              <w:t>Annan tillsyn som inte är regelbunden och utförs med hjälp av dokument eller fjärrövervakning</w:t>
            </w:r>
          </w:p>
        </w:tc>
        <w:tc>
          <w:tcPr>
            <w:tcW w:w="1822" w:type="dxa"/>
            <w:tcBorders>
              <w:top w:val="single" w:sz="8" w:space="0" w:color="auto"/>
              <w:left w:val="single" w:sz="8" w:space="0" w:color="auto"/>
              <w:bottom w:val="single" w:sz="8" w:space="0" w:color="auto"/>
              <w:right w:val="single" w:sz="8" w:space="0" w:color="auto"/>
            </w:tcBorders>
          </w:tcPr>
          <w:p w14:paraId="4543EF4E" w14:textId="77777777" w:rsidR="006563DB" w:rsidRDefault="00A41529">
            <w:pPr>
              <w:rPr>
                <w:rFonts w:ascii="Arial" w:eastAsia="Arial" w:hAnsi="Arial" w:cs="Arial"/>
              </w:rPr>
            </w:pPr>
            <w:r>
              <w:rPr>
                <w:rFonts w:ascii="Arial" w:hAnsi="Arial"/>
              </w:rPr>
              <w:t>Avgiftsfri</w:t>
            </w:r>
          </w:p>
        </w:tc>
        <w:tc>
          <w:tcPr>
            <w:tcW w:w="3816" w:type="dxa"/>
            <w:tcBorders>
              <w:top w:val="single" w:sz="8" w:space="0" w:color="auto"/>
              <w:left w:val="single" w:sz="8" w:space="0" w:color="auto"/>
              <w:bottom w:val="single" w:sz="8" w:space="0" w:color="auto"/>
              <w:right w:val="single" w:sz="8" w:space="0" w:color="auto"/>
            </w:tcBorders>
          </w:tcPr>
          <w:p w14:paraId="5A4065CA" w14:textId="77777777" w:rsidR="006563DB" w:rsidRDefault="006563DB">
            <w:pPr>
              <w:rPr>
                <w:rFonts w:ascii="Arial" w:eastAsia="Arial" w:hAnsi="Arial" w:cs="Arial"/>
              </w:rPr>
            </w:pPr>
          </w:p>
        </w:tc>
      </w:tr>
      <w:tr w:rsidR="00F96A8A" w14:paraId="56840367" w14:textId="77777777" w:rsidTr="00FF720A">
        <w:trPr>
          <w:trHeight w:hRule="exact" w:val="907"/>
        </w:trPr>
        <w:tc>
          <w:tcPr>
            <w:tcW w:w="3980" w:type="dxa"/>
            <w:tcBorders>
              <w:top w:val="single" w:sz="8" w:space="0" w:color="auto"/>
              <w:left w:val="single" w:sz="8" w:space="0" w:color="auto"/>
              <w:bottom w:val="single" w:sz="8" w:space="0" w:color="auto"/>
              <w:right w:val="single" w:sz="8" w:space="0" w:color="auto"/>
            </w:tcBorders>
            <w:hideMark/>
          </w:tcPr>
          <w:p w14:paraId="45993CCC" w14:textId="03DB273D" w:rsidR="006563DB" w:rsidRDefault="006563DB">
            <w:pPr>
              <w:spacing w:after="220"/>
              <w:rPr>
                <w:rFonts w:ascii="Arial" w:eastAsia="Arial" w:hAnsi="Arial" w:cs="Arial"/>
              </w:rPr>
            </w:pPr>
            <w:r>
              <w:rPr>
                <w:rFonts w:ascii="Arial" w:hAnsi="Arial"/>
              </w:rPr>
              <w:t>Efterkontroll av givna förelägganden att avhjälpa brister med hjälp av ett inspektionsbesök</w:t>
            </w:r>
          </w:p>
        </w:tc>
        <w:tc>
          <w:tcPr>
            <w:tcW w:w="1822" w:type="dxa"/>
            <w:tcBorders>
              <w:top w:val="single" w:sz="8" w:space="0" w:color="auto"/>
              <w:left w:val="single" w:sz="8" w:space="0" w:color="auto"/>
              <w:bottom w:val="single" w:sz="8" w:space="0" w:color="auto"/>
              <w:right w:val="single" w:sz="8" w:space="0" w:color="auto"/>
            </w:tcBorders>
          </w:tcPr>
          <w:p w14:paraId="22BE3ADF" w14:textId="33B94192" w:rsidR="006563DB" w:rsidRDefault="00EE5269">
            <w:pPr>
              <w:spacing w:after="220"/>
              <w:rPr>
                <w:rFonts w:ascii="Arial" w:eastAsia="Arial" w:hAnsi="Arial" w:cs="Arial"/>
              </w:rPr>
            </w:pPr>
            <w:r>
              <w:rPr>
                <w:rFonts w:ascii="Arial" w:hAnsi="Arial"/>
              </w:rPr>
              <w:t>196,00 €</w:t>
            </w:r>
          </w:p>
        </w:tc>
        <w:tc>
          <w:tcPr>
            <w:tcW w:w="3816" w:type="dxa"/>
            <w:tcBorders>
              <w:top w:val="single" w:sz="8" w:space="0" w:color="auto"/>
              <w:left w:val="single" w:sz="8" w:space="0" w:color="auto"/>
              <w:bottom w:val="single" w:sz="8" w:space="0" w:color="auto"/>
              <w:right w:val="single" w:sz="8" w:space="0" w:color="auto"/>
            </w:tcBorders>
          </w:tcPr>
          <w:p w14:paraId="76E551E7" w14:textId="63C4D109" w:rsidR="006563DB" w:rsidRDefault="006563DB">
            <w:pPr>
              <w:spacing w:after="220"/>
              <w:rPr>
                <w:rFonts w:ascii="Arial" w:eastAsia="Arial" w:hAnsi="Arial" w:cs="Arial"/>
                <w:color w:val="FF0000"/>
              </w:rPr>
            </w:pPr>
          </w:p>
        </w:tc>
      </w:tr>
      <w:tr w:rsidR="007525A7" w14:paraId="14993B83" w14:textId="77777777" w:rsidTr="00FF720A">
        <w:trPr>
          <w:trHeight w:hRule="exact" w:val="907"/>
        </w:trPr>
        <w:tc>
          <w:tcPr>
            <w:tcW w:w="3980" w:type="dxa"/>
            <w:tcBorders>
              <w:top w:val="single" w:sz="8" w:space="0" w:color="auto"/>
              <w:left w:val="single" w:sz="8" w:space="0" w:color="auto"/>
              <w:bottom w:val="single" w:sz="8" w:space="0" w:color="auto"/>
              <w:right w:val="single" w:sz="8" w:space="0" w:color="auto"/>
            </w:tcBorders>
          </w:tcPr>
          <w:p w14:paraId="0A2141D9" w14:textId="79009922" w:rsidR="007525A7" w:rsidRDefault="007525A7">
            <w:pPr>
              <w:spacing w:after="220"/>
              <w:rPr>
                <w:rFonts w:ascii="Arial" w:eastAsia="Arial" w:hAnsi="Arial" w:cs="Arial"/>
              </w:rPr>
            </w:pPr>
            <w:r>
              <w:rPr>
                <w:rFonts w:ascii="Arial" w:hAnsi="Arial"/>
              </w:rPr>
              <w:lastRenderedPageBreak/>
              <w:t>Efterkontroll av givna förelägganden att avhjälpa brister med hjälp av ett inspektionsbesök (bostadsbyggnader)</w:t>
            </w:r>
          </w:p>
        </w:tc>
        <w:tc>
          <w:tcPr>
            <w:tcW w:w="1822" w:type="dxa"/>
            <w:tcBorders>
              <w:top w:val="single" w:sz="8" w:space="0" w:color="auto"/>
              <w:left w:val="single" w:sz="8" w:space="0" w:color="auto"/>
              <w:bottom w:val="single" w:sz="8" w:space="0" w:color="auto"/>
              <w:right w:val="single" w:sz="8" w:space="0" w:color="auto"/>
            </w:tcBorders>
          </w:tcPr>
          <w:p w14:paraId="38E7CE0A" w14:textId="4C8EB3EE" w:rsidR="007525A7" w:rsidRDefault="007525A7">
            <w:pPr>
              <w:spacing w:after="220"/>
              <w:rPr>
                <w:rFonts w:ascii="Arial" w:eastAsia="Arial" w:hAnsi="Arial" w:cs="Arial"/>
              </w:rPr>
            </w:pPr>
            <w:r>
              <w:rPr>
                <w:rFonts w:ascii="Arial" w:hAnsi="Arial"/>
              </w:rPr>
              <w:t>117,00 €</w:t>
            </w:r>
          </w:p>
        </w:tc>
        <w:tc>
          <w:tcPr>
            <w:tcW w:w="3816" w:type="dxa"/>
            <w:tcBorders>
              <w:top w:val="single" w:sz="8" w:space="0" w:color="auto"/>
              <w:left w:val="single" w:sz="8" w:space="0" w:color="auto"/>
              <w:bottom w:val="single" w:sz="8" w:space="0" w:color="auto"/>
              <w:right w:val="single" w:sz="8" w:space="0" w:color="auto"/>
            </w:tcBorders>
          </w:tcPr>
          <w:p w14:paraId="2FD835EB" w14:textId="77777777" w:rsidR="007525A7" w:rsidRDefault="007525A7">
            <w:pPr>
              <w:spacing w:after="220"/>
              <w:rPr>
                <w:rFonts w:ascii="Arial" w:eastAsia="Arial" w:hAnsi="Arial" w:cs="Arial"/>
                <w:color w:val="FF0000"/>
              </w:rPr>
            </w:pPr>
          </w:p>
        </w:tc>
      </w:tr>
      <w:tr w:rsidR="00F96A8A" w14:paraId="5D82FE5D" w14:textId="77777777" w:rsidTr="007525A7">
        <w:trPr>
          <w:trHeight w:hRule="exact" w:val="794"/>
        </w:trPr>
        <w:tc>
          <w:tcPr>
            <w:tcW w:w="3980" w:type="dxa"/>
            <w:tcBorders>
              <w:top w:val="single" w:sz="8" w:space="0" w:color="auto"/>
              <w:left w:val="single" w:sz="8" w:space="0" w:color="auto"/>
              <w:bottom w:val="single" w:sz="8" w:space="0" w:color="auto"/>
              <w:right w:val="single" w:sz="8" w:space="0" w:color="auto"/>
            </w:tcBorders>
          </w:tcPr>
          <w:p w14:paraId="7A4A6651" w14:textId="312B55F3" w:rsidR="006563DB" w:rsidRPr="00D02330" w:rsidRDefault="006563DB" w:rsidP="00D02330">
            <w:pPr>
              <w:spacing w:after="220" w:line="256" w:lineRule="auto"/>
              <w:rPr>
                <w:rFonts w:ascii="Arial" w:eastAsia="Arial" w:hAnsi="Arial" w:cs="Arial"/>
              </w:rPr>
            </w:pPr>
            <w:r>
              <w:rPr>
                <w:rFonts w:ascii="Arial" w:hAnsi="Arial"/>
              </w:rPr>
              <w:t>Efterkontroll av givna förelägganden att avhjälpa brister med hjälp av dokument</w:t>
            </w:r>
          </w:p>
        </w:tc>
        <w:tc>
          <w:tcPr>
            <w:tcW w:w="1822" w:type="dxa"/>
            <w:tcBorders>
              <w:top w:val="single" w:sz="8" w:space="0" w:color="auto"/>
              <w:left w:val="single" w:sz="8" w:space="0" w:color="auto"/>
              <w:bottom w:val="single" w:sz="8" w:space="0" w:color="auto"/>
              <w:right w:val="single" w:sz="8" w:space="0" w:color="auto"/>
            </w:tcBorders>
          </w:tcPr>
          <w:p w14:paraId="13443501" w14:textId="108169D5" w:rsidR="006563DB" w:rsidRDefault="007525A7">
            <w:pPr>
              <w:rPr>
                <w:rFonts w:ascii="Arial" w:eastAsia="Arial" w:hAnsi="Arial" w:cs="Arial"/>
              </w:rPr>
            </w:pPr>
            <w:r>
              <w:rPr>
                <w:rFonts w:ascii="Arial" w:hAnsi="Arial"/>
              </w:rPr>
              <w:t>59,00 €</w:t>
            </w:r>
          </w:p>
        </w:tc>
        <w:tc>
          <w:tcPr>
            <w:tcW w:w="3816" w:type="dxa"/>
            <w:tcBorders>
              <w:top w:val="single" w:sz="8" w:space="0" w:color="auto"/>
              <w:left w:val="single" w:sz="8" w:space="0" w:color="auto"/>
              <w:bottom w:val="single" w:sz="8" w:space="0" w:color="auto"/>
              <w:right w:val="single" w:sz="8" w:space="0" w:color="auto"/>
            </w:tcBorders>
          </w:tcPr>
          <w:p w14:paraId="3AB21957" w14:textId="77777777" w:rsidR="006563DB" w:rsidRDefault="006563DB" w:rsidP="007525A7">
            <w:pPr>
              <w:spacing w:after="220" w:line="256" w:lineRule="auto"/>
              <w:rPr>
                <w:rFonts w:ascii="Arial" w:eastAsia="Arial" w:hAnsi="Arial" w:cs="Arial"/>
              </w:rPr>
            </w:pPr>
          </w:p>
        </w:tc>
      </w:tr>
      <w:tr w:rsidR="00F96A8A" w14:paraId="2D1977EC" w14:textId="77777777" w:rsidTr="00FF720A">
        <w:trPr>
          <w:trHeight w:hRule="exact" w:val="907"/>
        </w:trPr>
        <w:tc>
          <w:tcPr>
            <w:tcW w:w="3980" w:type="dxa"/>
            <w:tcBorders>
              <w:top w:val="single" w:sz="8" w:space="0" w:color="auto"/>
              <w:left w:val="single" w:sz="8" w:space="0" w:color="auto"/>
              <w:bottom w:val="single" w:sz="8" w:space="0" w:color="auto"/>
              <w:right w:val="single" w:sz="8" w:space="0" w:color="auto"/>
            </w:tcBorders>
            <w:hideMark/>
          </w:tcPr>
          <w:p w14:paraId="056514E0" w14:textId="77777777" w:rsidR="006563DB" w:rsidRDefault="006563DB">
            <w:pPr>
              <w:spacing w:after="220"/>
              <w:rPr>
                <w:rFonts w:ascii="Arial" w:eastAsia="Arial" w:hAnsi="Arial" w:cs="Arial"/>
              </w:rPr>
            </w:pPr>
            <w:r>
              <w:rPr>
                <w:rFonts w:ascii="Arial" w:hAnsi="Arial"/>
              </w:rPr>
              <w:t xml:space="preserve">Inspektion som förutsätts i bygglovet under byggnadsprojektets gång </w:t>
            </w:r>
          </w:p>
        </w:tc>
        <w:tc>
          <w:tcPr>
            <w:tcW w:w="1822" w:type="dxa"/>
            <w:tcBorders>
              <w:top w:val="single" w:sz="8" w:space="0" w:color="auto"/>
              <w:left w:val="single" w:sz="8" w:space="0" w:color="auto"/>
              <w:bottom w:val="single" w:sz="8" w:space="0" w:color="auto"/>
              <w:right w:val="single" w:sz="8" w:space="0" w:color="auto"/>
            </w:tcBorders>
          </w:tcPr>
          <w:p w14:paraId="11DE75BF" w14:textId="0CC56B8D" w:rsidR="006563DB" w:rsidRDefault="00EE5269">
            <w:pPr>
              <w:spacing w:after="220"/>
              <w:rPr>
                <w:rFonts w:ascii="Arial" w:eastAsia="Arial" w:hAnsi="Arial" w:cs="Arial"/>
              </w:rPr>
            </w:pPr>
            <w:r>
              <w:rPr>
                <w:rFonts w:ascii="Arial" w:hAnsi="Arial"/>
              </w:rPr>
              <w:t>352,00 €</w:t>
            </w:r>
          </w:p>
        </w:tc>
        <w:tc>
          <w:tcPr>
            <w:tcW w:w="3816" w:type="dxa"/>
            <w:tcBorders>
              <w:top w:val="single" w:sz="8" w:space="0" w:color="auto"/>
              <w:left w:val="single" w:sz="8" w:space="0" w:color="auto"/>
              <w:bottom w:val="single" w:sz="8" w:space="0" w:color="auto"/>
              <w:right w:val="single" w:sz="8" w:space="0" w:color="auto"/>
            </w:tcBorders>
          </w:tcPr>
          <w:p w14:paraId="1E57E5D9" w14:textId="25E9382D" w:rsidR="006563DB" w:rsidRDefault="00EE5269">
            <w:pPr>
              <w:spacing w:after="220"/>
              <w:rPr>
                <w:rFonts w:ascii="Arial" w:eastAsia="Arial" w:hAnsi="Arial" w:cs="Arial"/>
              </w:rPr>
            </w:pPr>
            <w:r>
              <w:rPr>
                <w:rFonts w:ascii="Arial" w:hAnsi="Arial"/>
                <w:sz w:val="16"/>
              </w:rPr>
              <w:t>Innehåller max. 2 h objektsbesök. Om besökstiden överskrids med mer än 30 min, tas för den överskridande tiden ut en extra timdebitering 78 €/h</w:t>
            </w:r>
          </w:p>
        </w:tc>
      </w:tr>
      <w:tr w:rsidR="00F116B2" w14:paraId="5592A449" w14:textId="77777777" w:rsidTr="00FF720A">
        <w:trPr>
          <w:trHeight w:hRule="exact" w:val="907"/>
        </w:trPr>
        <w:tc>
          <w:tcPr>
            <w:tcW w:w="3980" w:type="dxa"/>
            <w:tcBorders>
              <w:top w:val="single" w:sz="8" w:space="0" w:color="auto"/>
              <w:left w:val="single" w:sz="8" w:space="0" w:color="auto"/>
              <w:bottom w:val="single" w:sz="8" w:space="0" w:color="auto"/>
              <w:right w:val="single" w:sz="8" w:space="0" w:color="auto"/>
            </w:tcBorders>
          </w:tcPr>
          <w:p w14:paraId="49A0D437" w14:textId="1C6FF33E" w:rsidR="00F116B2" w:rsidRDefault="00F116B2">
            <w:pPr>
              <w:spacing w:after="220"/>
              <w:rPr>
                <w:rFonts w:ascii="Arial" w:eastAsia="Arial" w:hAnsi="Arial" w:cs="Arial"/>
              </w:rPr>
            </w:pPr>
            <w:r>
              <w:rPr>
                <w:rFonts w:ascii="Arial" w:hAnsi="Arial"/>
              </w:rPr>
              <w:t>Administrativa tvångsmedel</w:t>
            </w:r>
          </w:p>
        </w:tc>
        <w:tc>
          <w:tcPr>
            <w:tcW w:w="1822" w:type="dxa"/>
            <w:tcBorders>
              <w:top w:val="single" w:sz="8" w:space="0" w:color="auto"/>
              <w:left w:val="single" w:sz="8" w:space="0" w:color="auto"/>
              <w:bottom w:val="single" w:sz="8" w:space="0" w:color="auto"/>
              <w:right w:val="single" w:sz="8" w:space="0" w:color="auto"/>
            </w:tcBorders>
          </w:tcPr>
          <w:p w14:paraId="39FA1AC5" w14:textId="6DC51032" w:rsidR="00F116B2" w:rsidRDefault="00972DD8">
            <w:pPr>
              <w:spacing w:after="220"/>
              <w:rPr>
                <w:rFonts w:ascii="Arial" w:eastAsia="Arial" w:hAnsi="Arial" w:cs="Arial"/>
              </w:rPr>
            </w:pPr>
            <w:r>
              <w:rPr>
                <w:rFonts w:ascii="Arial" w:hAnsi="Arial"/>
              </w:rPr>
              <w:t>78,00 €/h</w:t>
            </w:r>
          </w:p>
        </w:tc>
        <w:tc>
          <w:tcPr>
            <w:tcW w:w="3816" w:type="dxa"/>
            <w:tcBorders>
              <w:top w:val="single" w:sz="8" w:space="0" w:color="auto"/>
              <w:left w:val="single" w:sz="8" w:space="0" w:color="auto"/>
              <w:bottom w:val="single" w:sz="8" w:space="0" w:color="auto"/>
              <w:right w:val="single" w:sz="8" w:space="0" w:color="auto"/>
            </w:tcBorders>
          </w:tcPr>
          <w:p w14:paraId="4AE1DAC5" w14:textId="00BFC631" w:rsidR="00F116B2" w:rsidRPr="00C6616A" w:rsidRDefault="00972DD8">
            <w:pPr>
              <w:spacing w:after="220"/>
              <w:rPr>
                <w:rFonts w:ascii="Arial" w:eastAsia="Arial" w:hAnsi="Arial" w:cs="Arial"/>
                <w:sz w:val="16"/>
              </w:rPr>
            </w:pPr>
            <w:r>
              <w:rPr>
                <w:rFonts w:ascii="Arial" w:hAnsi="Arial"/>
                <w:sz w:val="16"/>
              </w:rPr>
              <w:t xml:space="preserve">Enligt de faktiska kostnaderna, separat angående skedet för fastställande av tvångsmedel respektive skedet för process för utdömande, dock högst 8 h/skede </w:t>
            </w:r>
          </w:p>
        </w:tc>
      </w:tr>
    </w:tbl>
    <w:p w14:paraId="1E1B3795" w14:textId="6109ED9F" w:rsidR="006563DB" w:rsidRDefault="006563DB" w:rsidP="003E2D4A">
      <w:pPr>
        <w:rPr>
          <w:rFonts w:eastAsiaTheme="minorEastAsia" w:cstheme="minorBidi"/>
        </w:rPr>
      </w:pPr>
      <w:r>
        <w:t xml:space="preserve"> </w:t>
      </w:r>
    </w:p>
    <w:p w14:paraId="153019AF" w14:textId="77777777" w:rsidR="006563DB" w:rsidRDefault="006563DB" w:rsidP="006563DB">
      <w:pPr>
        <w:spacing w:after="0" w:line="256" w:lineRule="auto"/>
        <w:rPr>
          <w:rFonts w:eastAsiaTheme="minorEastAsia" w:cstheme="minorBidi"/>
          <w:b/>
          <w:bCs/>
        </w:rPr>
      </w:pPr>
      <w:r>
        <w:rPr>
          <w:b/>
        </w:rPr>
        <w:t>Återkommande falska brandlarm</w:t>
      </w:r>
    </w:p>
    <w:tbl>
      <w:tblPr>
        <w:tblStyle w:val="TaulukkoRuudukko"/>
        <w:tblW w:w="0" w:type="auto"/>
        <w:tblInd w:w="0" w:type="dxa"/>
        <w:tblLook w:val="04A0" w:firstRow="1" w:lastRow="0" w:firstColumn="1" w:lastColumn="0" w:noHBand="0" w:noVBand="1"/>
      </w:tblPr>
      <w:tblGrid>
        <w:gridCol w:w="3962"/>
        <w:gridCol w:w="1845"/>
        <w:gridCol w:w="3821"/>
      </w:tblGrid>
      <w:tr w:rsidR="00C252E2" w14:paraId="66611B93" w14:textId="77777777" w:rsidTr="00C252E2">
        <w:tc>
          <w:tcPr>
            <w:tcW w:w="3962" w:type="dxa"/>
            <w:tcBorders>
              <w:top w:val="single" w:sz="4" w:space="0" w:color="auto"/>
              <w:left w:val="single" w:sz="4" w:space="0" w:color="auto"/>
              <w:bottom w:val="single" w:sz="4" w:space="0" w:color="auto"/>
              <w:right w:val="single" w:sz="4" w:space="0" w:color="auto"/>
            </w:tcBorders>
            <w:hideMark/>
          </w:tcPr>
          <w:p w14:paraId="71561E25" w14:textId="77777777" w:rsidR="006563DB" w:rsidRDefault="006563DB">
            <w:pPr>
              <w:spacing w:after="0" w:line="256" w:lineRule="auto"/>
            </w:pPr>
            <w:r>
              <w:t>Avgift för falskt brandlarm</w:t>
            </w:r>
          </w:p>
        </w:tc>
        <w:tc>
          <w:tcPr>
            <w:tcW w:w="1845" w:type="dxa"/>
            <w:tcBorders>
              <w:top w:val="single" w:sz="4" w:space="0" w:color="auto"/>
              <w:left w:val="single" w:sz="4" w:space="0" w:color="auto"/>
              <w:bottom w:val="single" w:sz="4" w:space="0" w:color="auto"/>
              <w:right w:val="single" w:sz="4" w:space="0" w:color="auto"/>
            </w:tcBorders>
          </w:tcPr>
          <w:p w14:paraId="0FCF6DE7" w14:textId="0FA04223" w:rsidR="006563DB" w:rsidRPr="005531A6" w:rsidRDefault="00DE44EE" w:rsidP="005531A6">
            <w:pPr>
              <w:spacing w:after="220"/>
              <w:rPr>
                <w:sz w:val="18"/>
              </w:rPr>
            </w:pPr>
            <w:r>
              <w:rPr>
                <w:rFonts w:ascii="Arial" w:hAnsi="Arial"/>
              </w:rPr>
              <w:t>1 773,00 €</w:t>
            </w:r>
          </w:p>
        </w:tc>
        <w:tc>
          <w:tcPr>
            <w:tcW w:w="3821" w:type="dxa"/>
            <w:tcBorders>
              <w:top w:val="single" w:sz="4" w:space="0" w:color="auto"/>
              <w:left w:val="single" w:sz="4" w:space="0" w:color="auto"/>
              <w:bottom w:val="single" w:sz="4" w:space="0" w:color="auto"/>
              <w:right w:val="single" w:sz="4" w:space="0" w:color="auto"/>
            </w:tcBorders>
          </w:tcPr>
          <w:p w14:paraId="23B7DF28" w14:textId="0649745C" w:rsidR="006563DB" w:rsidRPr="0018374B" w:rsidRDefault="00D02330">
            <w:pPr>
              <w:spacing w:after="0" w:line="256" w:lineRule="auto"/>
              <w:rPr>
                <w:rFonts w:ascii="Arial" w:hAnsi="Arial" w:cs="Arial"/>
                <w:sz w:val="16"/>
              </w:rPr>
            </w:pPr>
            <w:r>
              <w:rPr>
                <w:rFonts w:ascii="Arial" w:hAnsi="Arial"/>
                <w:sz w:val="16"/>
              </w:rPr>
              <w:t>Som återkommande felaktig funktion hos en brandlarmanläggning betraktas det tredje och de därpå följande falska brandlarm som har utlösts under de senaste 12 månaderna.</w:t>
            </w:r>
          </w:p>
          <w:p w14:paraId="5FF8C9C3" w14:textId="77777777" w:rsidR="006563DB" w:rsidRPr="005531A6" w:rsidRDefault="006563DB">
            <w:pPr>
              <w:spacing w:after="0" w:line="256" w:lineRule="auto"/>
              <w:rPr>
                <w:sz w:val="18"/>
              </w:rPr>
            </w:pPr>
          </w:p>
        </w:tc>
      </w:tr>
    </w:tbl>
    <w:p w14:paraId="366BB929" w14:textId="77777777" w:rsidR="006563DB" w:rsidRDefault="006563DB" w:rsidP="006563DB">
      <w:pPr>
        <w:spacing w:after="0" w:line="256" w:lineRule="auto"/>
        <w:rPr>
          <w:rFonts w:eastAsiaTheme="minorEastAsia" w:cstheme="minorBidi"/>
        </w:rPr>
      </w:pPr>
    </w:p>
    <w:p w14:paraId="5DAB1CCE" w14:textId="77777777" w:rsidR="006563DB" w:rsidRDefault="006563DB" w:rsidP="006563DB">
      <w:pPr>
        <w:spacing w:after="0" w:line="256" w:lineRule="auto"/>
        <w:rPr>
          <w:rFonts w:eastAsiaTheme="minorEastAsia" w:cstheme="minorBidi"/>
          <w:b/>
          <w:bCs/>
        </w:rPr>
      </w:pPr>
      <w:r>
        <w:rPr>
          <w:b/>
        </w:rPr>
        <w:t>Bilaga 3 Avgiftstabell 2.</w:t>
      </w:r>
    </w:p>
    <w:p w14:paraId="087CEC8C" w14:textId="77777777" w:rsidR="006563DB" w:rsidRDefault="006563DB" w:rsidP="006563DB">
      <w:pPr>
        <w:spacing w:after="0" w:line="256" w:lineRule="auto"/>
        <w:rPr>
          <w:rFonts w:eastAsiaTheme="minorEastAsia" w:cstheme="minorBidi"/>
        </w:rPr>
      </w:pPr>
    </w:p>
    <w:p w14:paraId="3B8B64F1" w14:textId="6760EC62" w:rsidR="006563DB" w:rsidRDefault="006563DB" w:rsidP="006563DB">
      <w:pPr>
        <w:spacing w:after="0" w:line="256" w:lineRule="auto"/>
        <w:rPr>
          <w:rFonts w:eastAsiaTheme="minorEastAsia" w:cstheme="minorBidi"/>
          <w:b/>
          <w:bCs/>
        </w:rPr>
      </w:pPr>
      <w:r>
        <w:rPr>
          <w:b/>
        </w:rPr>
        <w:t>Avgiftsbelagd tillsyn som grundar sig på kemikalielagstiftningen, lagen om säkerhet vid hantering av farliga kemikalier och explosiva varor (390/2005), 131 §</w:t>
      </w:r>
    </w:p>
    <w:tbl>
      <w:tblPr>
        <w:tblStyle w:val="TaulukkoRuudukko"/>
        <w:tblW w:w="9628" w:type="dxa"/>
        <w:tblInd w:w="0" w:type="dxa"/>
        <w:tblLayout w:type="fixed"/>
        <w:tblLook w:val="04A0" w:firstRow="1" w:lastRow="0" w:firstColumn="1" w:lastColumn="0" w:noHBand="0" w:noVBand="1"/>
      </w:tblPr>
      <w:tblGrid>
        <w:gridCol w:w="3983"/>
        <w:gridCol w:w="1819"/>
        <w:gridCol w:w="3826"/>
      </w:tblGrid>
      <w:tr w:rsidR="006563DB" w14:paraId="7D750635" w14:textId="77777777" w:rsidTr="00DE44EE">
        <w:trPr>
          <w:trHeight w:val="285"/>
        </w:trPr>
        <w:tc>
          <w:tcPr>
            <w:tcW w:w="3983" w:type="dxa"/>
            <w:tcBorders>
              <w:top w:val="single" w:sz="8" w:space="0" w:color="auto"/>
              <w:left w:val="single" w:sz="8" w:space="0" w:color="auto"/>
              <w:bottom w:val="single" w:sz="8" w:space="0" w:color="auto"/>
              <w:right w:val="single" w:sz="8" w:space="0" w:color="auto"/>
            </w:tcBorders>
            <w:hideMark/>
          </w:tcPr>
          <w:p w14:paraId="6DAC4039" w14:textId="77777777" w:rsidR="006563DB" w:rsidRDefault="006563DB">
            <w:pPr>
              <w:spacing w:after="220"/>
            </w:pPr>
            <w:r>
              <w:rPr>
                <w:rFonts w:ascii="Arial" w:hAnsi="Arial"/>
                <w:b/>
              </w:rPr>
              <w:t>Åtgärd</w:t>
            </w:r>
          </w:p>
        </w:tc>
        <w:tc>
          <w:tcPr>
            <w:tcW w:w="1819" w:type="dxa"/>
            <w:tcBorders>
              <w:top w:val="single" w:sz="8" w:space="0" w:color="auto"/>
              <w:left w:val="single" w:sz="8" w:space="0" w:color="auto"/>
              <w:bottom w:val="single" w:sz="8" w:space="0" w:color="auto"/>
              <w:right w:val="single" w:sz="8" w:space="0" w:color="auto"/>
            </w:tcBorders>
            <w:hideMark/>
          </w:tcPr>
          <w:p w14:paraId="0428C046" w14:textId="77777777" w:rsidR="006563DB" w:rsidRDefault="006563DB">
            <w:pPr>
              <w:spacing w:after="220"/>
            </w:pPr>
            <w:r>
              <w:rPr>
                <w:rFonts w:ascii="Arial" w:hAnsi="Arial"/>
                <w:b/>
              </w:rPr>
              <w:t>Avgift moms 0 %</w:t>
            </w:r>
          </w:p>
        </w:tc>
        <w:tc>
          <w:tcPr>
            <w:tcW w:w="3826" w:type="dxa"/>
            <w:tcBorders>
              <w:top w:val="single" w:sz="8" w:space="0" w:color="auto"/>
              <w:left w:val="single" w:sz="8" w:space="0" w:color="auto"/>
              <w:bottom w:val="single" w:sz="8" w:space="0" w:color="auto"/>
              <w:right w:val="single" w:sz="8" w:space="0" w:color="auto"/>
            </w:tcBorders>
            <w:hideMark/>
          </w:tcPr>
          <w:p w14:paraId="2A64F0C2" w14:textId="77777777" w:rsidR="006563DB" w:rsidRDefault="006563DB">
            <w:pPr>
              <w:spacing w:after="220"/>
            </w:pPr>
            <w:r>
              <w:rPr>
                <w:rFonts w:ascii="Arial" w:hAnsi="Arial"/>
                <w:b/>
              </w:rPr>
              <w:t>Observationer</w:t>
            </w:r>
          </w:p>
        </w:tc>
      </w:tr>
      <w:tr w:rsidR="00C45D1B" w14:paraId="40E34004" w14:textId="77777777" w:rsidTr="003861B7">
        <w:trPr>
          <w:trHeight w:val="825"/>
        </w:trPr>
        <w:tc>
          <w:tcPr>
            <w:tcW w:w="3983" w:type="dxa"/>
            <w:tcBorders>
              <w:top w:val="single" w:sz="8" w:space="0" w:color="auto"/>
              <w:left w:val="single" w:sz="8" w:space="0" w:color="auto"/>
              <w:bottom w:val="single" w:sz="8" w:space="0" w:color="auto"/>
              <w:right w:val="single" w:sz="8" w:space="0" w:color="auto"/>
            </w:tcBorders>
            <w:hideMark/>
          </w:tcPr>
          <w:p w14:paraId="0D7C2741" w14:textId="310E711E" w:rsidR="00C45D1B" w:rsidRDefault="00C45D1B">
            <w:pPr>
              <w:spacing w:after="220"/>
              <w:rPr>
                <w:rFonts w:ascii="Arial" w:eastAsia="Arial" w:hAnsi="Arial" w:cs="Arial"/>
              </w:rPr>
            </w:pPr>
            <w:r>
              <w:rPr>
                <w:rFonts w:ascii="Arial" w:hAnsi="Arial"/>
              </w:rPr>
              <w:t xml:space="preserve">Beslut om liten industriell hantering och upplagring av farliga kemikalier på basis av en anmälan till räddningsmyndigheten </w:t>
            </w:r>
          </w:p>
        </w:tc>
        <w:tc>
          <w:tcPr>
            <w:tcW w:w="1819" w:type="dxa"/>
            <w:tcBorders>
              <w:top w:val="single" w:sz="8" w:space="0" w:color="auto"/>
              <w:left w:val="single" w:sz="8" w:space="0" w:color="auto"/>
              <w:bottom w:val="single" w:sz="8" w:space="0" w:color="auto"/>
              <w:right w:val="single" w:sz="8" w:space="0" w:color="auto"/>
            </w:tcBorders>
          </w:tcPr>
          <w:p w14:paraId="6EFA8FCC" w14:textId="77777777" w:rsidR="00C45D1B" w:rsidRDefault="00C45D1B">
            <w:pPr>
              <w:spacing w:after="220"/>
              <w:rPr>
                <w:rFonts w:ascii="Arial" w:eastAsia="Arial" w:hAnsi="Arial" w:cs="Arial"/>
              </w:rPr>
            </w:pPr>
          </w:p>
        </w:tc>
        <w:tc>
          <w:tcPr>
            <w:tcW w:w="3826" w:type="dxa"/>
            <w:vMerge w:val="restart"/>
            <w:tcBorders>
              <w:top w:val="single" w:sz="8" w:space="0" w:color="auto"/>
              <w:left w:val="single" w:sz="8" w:space="0" w:color="auto"/>
              <w:right w:val="single" w:sz="8" w:space="0" w:color="auto"/>
            </w:tcBorders>
          </w:tcPr>
          <w:p w14:paraId="45903242" w14:textId="77777777" w:rsidR="00C45D1B" w:rsidRPr="00120ACD" w:rsidRDefault="00C45D1B" w:rsidP="003861B7">
            <w:pPr>
              <w:spacing w:after="220"/>
              <w:rPr>
                <w:rFonts w:ascii="Arial" w:eastAsia="Arial" w:hAnsi="Arial" w:cs="Arial"/>
                <w:sz w:val="14"/>
                <w:szCs w:val="14"/>
              </w:rPr>
            </w:pPr>
            <w:r w:rsidRPr="00120ACD">
              <w:rPr>
                <w:rFonts w:ascii="Arial" w:hAnsi="Arial"/>
                <w:sz w:val="14"/>
                <w:szCs w:val="14"/>
              </w:rPr>
              <w:t xml:space="preserve">Beslutskategorin baserar sig på särdragen hos och volymen av den verksamhet som sammanhänger med objektets kemikalier. </w:t>
            </w:r>
          </w:p>
          <w:p w14:paraId="67CB6058" w14:textId="53159408" w:rsidR="007525A7" w:rsidRPr="00120ACD" w:rsidRDefault="00972DD8" w:rsidP="00972DD8">
            <w:pPr>
              <w:spacing w:after="220"/>
              <w:rPr>
                <w:rFonts w:ascii="Arial" w:eastAsia="Arial" w:hAnsi="Arial" w:cs="Arial"/>
                <w:sz w:val="14"/>
                <w:szCs w:val="14"/>
              </w:rPr>
            </w:pPr>
            <w:r w:rsidRPr="00120ACD">
              <w:rPr>
                <w:rFonts w:ascii="Arial" w:hAnsi="Arial"/>
                <w:sz w:val="14"/>
                <w:szCs w:val="14"/>
              </w:rPr>
              <w:t>Klass 1 Flera kemikalier, verksamhetens art eller volym är mer utmanande än i klasserna 1 och 2 ELLER verksamheten är förknippad med särskilda lösningar för säkerhetsanordningar eller konstruktioner. Extra timdebitering 78,00 €/h, om behandlingen av ärendet kräver mer arbete än planerat</w:t>
            </w:r>
          </w:p>
          <w:p w14:paraId="10D2DEAA" w14:textId="77777777" w:rsidR="00972DD8" w:rsidRPr="00120ACD" w:rsidRDefault="00972DD8" w:rsidP="00972DD8">
            <w:pPr>
              <w:spacing w:after="220"/>
              <w:rPr>
                <w:rFonts w:ascii="Arial" w:eastAsia="Arial" w:hAnsi="Arial" w:cs="Arial"/>
                <w:sz w:val="14"/>
                <w:szCs w:val="14"/>
              </w:rPr>
            </w:pPr>
            <w:r w:rsidRPr="00120ACD">
              <w:rPr>
                <w:rFonts w:ascii="Arial" w:hAnsi="Arial"/>
                <w:sz w:val="14"/>
                <w:szCs w:val="14"/>
              </w:rPr>
              <w:t>Klass 2 Flera kemikalier av vilka minst en (namngiven) kemikalie överskrider anmälningsgränsen ELLER flera kemikalier sammantaget överskrider anmälningsgränsen ELLER en kemikalie överskrider anmälningsgränsen, men verksamheten förutsätter t.ex. smärre lösningar för säkerhetsanordningar eller konstruktioner</w:t>
            </w:r>
          </w:p>
          <w:p w14:paraId="04B4E898" w14:textId="316DE710" w:rsidR="00972DD8" w:rsidRPr="00120ACD" w:rsidRDefault="00972DD8" w:rsidP="00972DD8">
            <w:pPr>
              <w:spacing w:after="220"/>
              <w:rPr>
                <w:rFonts w:ascii="Arial" w:eastAsia="Arial" w:hAnsi="Arial" w:cs="Arial"/>
                <w:sz w:val="14"/>
                <w:szCs w:val="14"/>
              </w:rPr>
            </w:pPr>
            <w:r w:rsidRPr="00120ACD">
              <w:rPr>
                <w:rFonts w:ascii="Arial" w:hAnsi="Arial"/>
                <w:sz w:val="14"/>
                <w:szCs w:val="14"/>
              </w:rPr>
              <w:t xml:space="preserve">Klass 3 En kemikalie som överskrider anmälningsgränsen för liten industriell hantering och upplagring av farliga kemikalier ELLER tillfällig verksamhet ELLER uppdatering av ett tidigare kemikaliebeslut </w:t>
            </w:r>
          </w:p>
          <w:p w14:paraId="60460FD3" w14:textId="77777777" w:rsidR="007525A7" w:rsidRPr="00120ACD" w:rsidRDefault="007525A7" w:rsidP="00972DD8">
            <w:pPr>
              <w:spacing w:after="220"/>
              <w:rPr>
                <w:rFonts w:ascii="Arial" w:eastAsia="Arial" w:hAnsi="Arial" w:cs="Arial"/>
                <w:sz w:val="14"/>
                <w:szCs w:val="14"/>
              </w:rPr>
            </w:pPr>
          </w:p>
          <w:p w14:paraId="1D6B853D" w14:textId="4E1F1739" w:rsidR="00C767E5" w:rsidRPr="00120ACD" w:rsidRDefault="00C767E5" w:rsidP="003861B7">
            <w:pPr>
              <w:spacing w:after="220"/>
              <w:rPr>
                <w:rFonts w:ascii="Arial" w:eastAsia="Arial" w:hAnsi="Arial" w:cs="Arial"/>
                <w:color w:val="FF0000"/>
                <w:sz w:val="14"/>
                <w:szCs w:val="14"/>
              </w:rPr>
            </w:pPr>
          </w:p>
        </w:tc>
      </w:tr>
      <w:tr w:rsidR="00C45D1B" w14:paraId="41088BE6" w14:textId="77777777" w:rsidTr="003E2D4A">
        <w:trPr>
          <w:trHeight w:hRule="exact" w:val="964"/>
        </w:trPr>
        <w:tc>
          <w:tcPr>
            <w:tcW w:w="3983" w:type="dxa"/>
            <w:tcBorders>
              <w:top w:val="single" w:sz="8" w:space="0" w:color="auto"/>
              <w:left w:val="single" w:sz="8" w:space="0" w:color="auto"/>
              <w:bottom w:val="single" w:sz="8" w:space="0" w:color="auto"/>
              <w:right w:val="single" w:sz="8" w:space="0" w:color="auto"/>
            </w:tcBorders>
          </w:tcPr>
          <w:p w14:paraId="691B9E89" w14:textId="36D577C8" w:rsidR="00C45D1B" w:rsidRPr="00972DD8" w:rsidRDefault="00C45D1B" w:rsidP="00DE44EE">
            <w:pPr>
              <w:pStyle w:val="Luettelokappale"/>
              <w:numPr>
                <w:ilvl w:val="0"/>
                <w:numId w:val="2"/>
              </w:numPr>
              <w:spacing w:after="220"/>
              <w:rPr>
                <w:rFonts w:ascii="Arial" w:eastAsia="Arial" w:hAnsi="Arial" w:cs="Arial"/>
              </w:rPr>
            </w:pPr>
            <w:r>
              <w:rPr>
                <w:rFonts w:ascii="Arial" w:hAnsi="Arial"/>
              </w:rPr>
              <w:t>Beslutsklass 1</w:t>
            </w:r>
          </w:p>
        </w:tc>
        <w:tc>
          <w:tcPr>
            <w:tcW w:w="1819" w:type="dxa"/>
            <w:tcBorders>
              <w:top w:val="single" w:sz="8" w:space="0" w:color="auto"/>
              <w:left w:val="single" w:sz="8" w:space="0" w:color="auto"/>
              <w:bottom w:val="single" w:sz="8" w:space="0" w:color="auto"/>
              <w:right w:val="single" w:sz="8" w:space="0" w:color="auto"/>
            </w:tcBorders>
          </w:tcPr>
          <w:p w14:paraId="639DD9BD" w14:textId="67E288E9" w:rsidR="00C45D1B" w:rsidRPr="00972DD8" w:rsidRDefault="00972DD8">
            <w:pPr>
              <w:spacing w:after="220"/>
              <w:rPr>
                <w:rFonts w:ascii="Arial" w:eastAsia="Arial" w:hAnsi="Arial" w:cs="Arial"/>
              </w:rPr>
            </w:pPr>
            <w:r>
              <w:rPr>
                <w:rFonts w:ascii="Arial" w:hAnsi="Arial"/>
              </w:rPr>
              <w:t>470,00 €</w:t>
            </w:r>
          </w:p>
        </w:tc>
        <w:tc>
          <w:tcPr>
            <w:tcW w:w="3826" w:type="dxa"/>
            <w:vMerge/>
            <w:tcBorders>
              <w:left w:val="single" w:sz="8" w:space="0" w:color="auto"/>
              <w:right w:val="single" w:sz="8" w:space="0" w:color="auto"/>
            </w:tcBorders>
          </w:tcPr>
          <w:p w14:paraId="39B71E0C" w14:textId="432D3FCB" w:rsidR="00C45D1B" w:rsidRDefault="00C45D1B">
            <w:pPr>
              <w:spacing w:after="220"/>
              <w:rPr>
                <w:rFonts w:ascii="Arial" w:eastAsia="Arial" w:hAnsi="Arial" w:cs="Arial"/>
                <w:color w:val="FF0000"/>
              </w:rPr>
            </w:pPr>
          </w:p>
        </w:tc>
      </w:tr>
      <w:tr w:rsidR="00C45D1B" w14:paraId="7616CBBA" w14:textId="77777777" w:rsidTr="003E2D4A">
        <w:trPr>
          <w:trHeight w:hRule="exact" w:val="964"/>
        </w:trPr>
        <w:tc>
          <w:tcPr>
            <w:tcW w:w="3983" w:type="dxa"/>
            <w:tcBorders>
              <w:top w:val="single" w:sz="8" w:space="0" w:color="auto"/>
              <w:left w:val="single" w:sz="8" w:space="0" w:color="auto"/>
              <w:bottom w:val="single" w:sz="8" w:space="0" w:color="auto"/>
              <w:right w:val="single" w:sz="8" w:space="0" w:color="auto"/>
            </w:tcBorders>
          </w:tcPr>
          <w:p w14:paraId="7FEBD2B7" w14:textId="22C6B52A" w:rsidR="00C45D1B" w:rsidRPr="00972DD8" w:rsidRDefault="00C45D1B" w:rsidP="00DE44EE">
            <w:pPr>
              <w:pStyle w:val="Luettelokappale"/>
              <w:numPr>
                <w:ilvl w:val="0"/>
                <w:numId w:val="2"/>
              </w:numPr>
              <w:spacing w:after="220"/>
              <w:rPr>
                <w:rFonts w:ascii="Arial" w:eastAsia="Arial" w:hAnsi="Arial" w:cs="Arial"/>
              </w:rPr>
            </w:pPr>
            <w:r>
              <w:rPr>
                <w:rFonts w:ascii="Arial" w:hAnsi="Arial"/>
              </w:rPr>
              <w:t>Beslutsklass 2</w:t>
            </w:r>
          </w:p>
        </w:tc>
        <w:tc>
          <w:tcPr>
            <w:tcW w:w="1819" w:type="dxa"/>
            <w:tcBorders>
              <w:top w:val="single" w:sz="8" w:space="0" w:color="auto"/>
              <w:left w:val="single" w:sz="8" w:space="0" w:color="auto"/>
              <w:bottom w:val="single" w:sz="8" w:space="0" w:color="auto"/>
              <w:right w:val="single" w:sz="8" w:space="0" w:color="auto"/>
            </w:tcBorders>
          </w:tcPr>
          <w:p w14:paraId="14FFA05B" w14:textId="34BD2733" w:rsidR="00C45D1B" w:rsidRPr="00972DD8" w:rsidRDefault="00C767E5">
            <w:pPr>
              <w:spacing w:after="220"/>
              <w:rPr>
                <w:rFonts w:ascii="Arial" w:eastAsia="Arial" w:hAnsi="Arial" w:cs="Arial"/>
              </w:rPr>
            </w:pPr>
            <w:r>
              <w:rPr>
                <w:rFonts w:ascii="Arial" w:hAnsi="Arial"/>
              </w:rPr>
              <w:t>313,00 €</w:t>
            </w:r>
          </w:p>
        </w:tc>
        <w:tc>
          <w:tcPr>
            <w:tcW w:w="3826" w:type="dxa"/>
            <w:vMerge/>
            <w:tcBorders>
              <w:left w:val="single" w:sz="8" w:space="0" w:color="auto"/>
              <w:right w:val="single" w:sz="8" w:space="0" w:color="auto"/>
            </w:tcBorders>
          </w:tcPr>
          <w:p w14:paraId="2DB78FDD" w14:textId="77777777" w:rsidR="00C45D1B" w:rsidRDefault="00C45D1B">
            <w:pPr>
              <w:spacing w:after="220"/>
              <w:rPr>
                <w:rFonts w:ascii="Arial" w:eastAsia="Arial" w:hAnsi="Arial" w:cs="Arial"/>
                <w:color w:val="FF0000"/>
              </w:rPr>
            </w:pPr>
          </w:p>
        </w:tc>
      </w:tr>
      <w:tr w:rsidR="00C45D1B" w14:paraId="4AAA0E1B" w14:textId="77777777" w:rsidTr="003E2D4A">
        <w:trPr>
          <w:trHeight w:hRule="exact" w:val="964"/>
        </w:trPr>
        <w:tc>
          <w:tcPr>
            <w:tcW w:w="3983" w:type="dxa"/>
            <w:tcBorders>
              <w:top w:val="single" w:sz="8" w:space="0" w:color="auto"/>
              <w:left w:val="single" w:sz="8" w:space="0" w:color="auto"/>
              <w:bottom w:val="single" w:sz="8" w:space="0" w:color="auto"/>
              <w:right w:val="single" w:sz="8" w:space="0" w:color="auto"/>
            </w:tcBorders>
          </w:tcPr>
          <w:p w14:paraId="6392927C" w14:textId="4941BF25" w:rsidR="00C45D1B" w:rsidRPr="00972DD8" w:rsidRDefault="00C45D1B" w:rsidP="00DE44EE">
            <w:pPr>
              <w:pStyle w:val="Luettelokappale"/>
              <w:numPr>
                <w:ilvl w:val="0"/>
                <w:numId w:val="2"/>
              </w:numPr>
              <w:spacing w:after="220"/>
              <w:rPr>
                <w:rFonts w:ascii="Arial" w:eastAsia="Arial" w:hAnsi="Arial" w:cs="Arial"/>
              </w:rPr>
            </w:pPr>
            <w:r>
              <w:rPr>
                <w:rFonts w:ascii="Arial" w:hAnsi="Arial"/>
              </w:rPr>
              <w:t>Beslutsklass 3</w:t>
            </w:r>
          </w:p>
        </w:tc>
        <w:tc>
          <w:tcPr>
            <w:tcW w:w="1819" w:type="dxa"/>
            <w:tcBorders>
              <w:top w:val="single" w:sz="8" w:space="0" w:color="auto"/>
              <w:left w:val="single" w:sz="8" w:space="0" w:color="auto"/>
              <w:bottom w:val="single" w:sz="8" w:space="0" w:color="auto"/>
              <w:right w:val="single" w:sz="8" w:space="0" w:color="auto"/>
            </w:tcBorders>
          </w:tcPr>
          <w:p w14:paraId="090A78E4" w14:textId="15A5B634" w:rsidR="00C45D1B" w:rsidRPr="00972DD8" w:rsidRDefault="00972DD8">
            <w:pPr>
              <w:spacing w:after="220"/>
              <w:rPr>
                <w:rFonts w:ascii="Arial" w:eastAsia="Arial" w:hAnsi="Arial" w:cs="Arial"/>
              </w:rPr>
            </w:pPr>
            <w:r>
              <w:rPr>
                <w:rFonts w:ascii="Arial" w:hAnsi="Arial"/>
              </w:rPr>
              <w:t>157,00 €</w:t>
            </w:r>
          </w:p>
        </w:tc>
        <w:tc>
          <w:tcPr>
            <w:tcW w:w="3826" w:type="dxa"/>
            <w:vMerge/>
            <w:tcBorders>
              <w:left w:val="single" w:sz="8" w:space="0" w:color="auto"/>
              <w:bottom w:val="single" w:sz="8" w:space="0" w:color="auto"/>
              <w:right w:val="single" w:sz="8" w:space="0" w:color="auto"/>
            </w:tcBorders>
          </w:tcPr>
          <w:p w14:paraId="71CC6E22" w14:textId="77777777" w:rsidR="00C45D1B" w:rsidRDefault="00C45D1B">
            <w:pPr>
              <w:spacing w:after="220"/>
              <w:rPr>
                <w:rFonts w:ascii="Arial" w:eastAsia="Arial" w:hAnsi="Arial" w:cs="Arial"/>
                <w:color w:val="FF0000"/>
              </w:rPr>
            </w:pPr>
          </w:p>
        </w:tc>
      </w:tr>
      <w:tr w:rsidR="006563DB" w14:paraId="454C969E" w14:textId="77777777" w:rsidTr="00DE44EE">
        <w:trPr>
          <w:trHeight w:val="1260"/>
        </w:trPr>
        <w:tc>
          <w:tcPr>
            <w:tcW w:w="3983" w:type="dxa"/>
            <w:tcBorders>
              <w:top w:val="single" w:sz="8" w:space="0" w:color="auto"/>
              <w:left w:val="single" w:sz="8" w:space="0" w:color="auto"/>
              <w:bottom w:val="single" w:sz="8" w:space="0" w:color="auto"/>
              <w:right w:val="single" w:sz="8" w:space="0" w:color="auto"/>
            </w:tcBorders>
            <w:hideMark/>
          </w:tcPr>
          <w:p w14:paraId="78EBF01B" w14:textId="7C358D85" w:rsidR="006563DB" w:rsidRDefault="006563DB">
            <w:pPr>
              <w:spacing w:after="220"/>
              <w:rPr>
                <w:rFonts w:ascii="Arial" w:eastAsia="Arial" w:hAnsi="Arial" w:cs="Arial"/>
              </w:rPr>
            </w:pPr>
            <w:r>
              <w:rPr>
                <w:rFonts w:ascii="Arial" w:hAnsi="Arial"/>
              </w:rPr>
              <w:t>Inspektion som utförs på basis av beslut om liten industriell hantering och upplagring av farliga kemikalier, inkl. inspektion av tillfällig verksamhet</w:t>
            </w:r>
          </w:p>
        </w:tc>
        <w:tc>
          <w:tcPr>
            <w:tcW w:w="1819" w:type="dxa"/>
            <w:tcBorders>
              <w:top w:val="single" w:sz="8" w:space="0" w:color="auto"/>
              <w:left w:val="single" w:sz="8" w:space="0" w:color="auto"/>
              <w:bottom w:val="single" w:sz="8" w:space="0" w:color="auto"/>
              <w:right w:val="single" w:sz="8" w:space="0" w:color="auto"/>
            </w:tcBorders>
          </w:tcPr>
          <w:p w14:paraId="0E6734E5" w14:textId="3EA5A5A5" w:rsidR="006563DB" w:rsidRDefault="009C0616">
            <w:pPr>
              <w:spacing w:after="220"/>
              <w:rPr>
                <w:rFonts w:ascii="Arial" w:eastAsia="Arial" w:hAnsi="Arial" w:cs="Arial"/>
              </w:rPr>
            </w:pPr>
            <w:r>
              <w:rPr>
                <w:rFonts w:ascii="Arial" w:hAnsi="Arial"/>
              </w:rPr>
              <w:t>235,00 €</w:t>
            </w:r>
          </w:p>
        </w:tc>
        <w:tc>
          <w:tcPr>
            <w:tcW w:w="3826" w:type="dxa"/>
            <w:tcBorders>
              <w:top w:val="single" w:sz="8" w:space="0" w:color="auto"/>
              <w:left w:val="single" w:sz="8" w:space="0" w:color="auto"/>
              <w:bottom w:val="single" w:sz="8" w:space="0" w:color="auto"/>
              <w:right w:val="single" w:sz="8" w:space="0" w:color="auto"/>
            </w:tcBorders>
            <w:hideMark/>
          </w:tcPr>
          <w:p w14:paraId="2864FD0D" w14:textId="1AE62F7D" w:rsidR="006563DB" w:rsidRPr="00120ACD" w:rsidRDefault="009C0616">
            <w:pPr>
              <w:spacing w:after="220"/>
              <w:rPr>
                <w:sz w:val="16"/>
                <w:szCs w:val="16"/>
              </w:rPr>
            </w:pPr>
            <w:r w:rsidRPr="00120ACD">
              <w:rPr>
                <w:rFonts w:ascii="Arial" w:hAnsi="Arial"/>
                <w:sz w:val="16"/>
                <w:szCs w:val="16"/>
              </w:rPr>
              <w:t>Innehåller max. 1 h objektsbesök. Om besökstiden överskrids med mer än 30 min, tas för den överskridande tiden ut en extra timdebitering 78 €/h</w:t>
            </w:r>
          </w:p>
        </w:tc>
      </w:tr>
      <w:tr w:rsidR="006563DB" w14:paraId="1202E5A4" w14:textId="77777777" w:rsidTr="003E2D4A">
        <w:trPr>
          <w:trHeight w:hRule="exact" w:val="851"/>
        </w:trPr>
        <w:tc>
          <w:tcPr>
            <w:tcW w:w="3983" w:type="dxa"/>
            <w:tcBorders>
              <w:top w:val="single" w:sz="8" w:space="0" w:color="auto"/>
              <w:left w:val="single" w:sz="8" w:space="0" w:color="auto"/>
              <w:bottom w:val="single" w:sz="8" w:space="0" w:color="auto"/>
              <w:right w:val="single" w:sz="8" w:space="0" w:color="auto"/>
            </w:tcBorders>
            <w:hideMark/>
          </w:tcPr>
          <w:p w14:paraId="15DFD8B0" w14:textId="7CF00CC6" w:rsidR="006563DB" w:rsidRDefault="006563DB">
            <w:pPr>
              <w:spacing w:after="220"/>
            </w:pPr>
            <w:r>
              <w:rPr>
                <w:rFonts w:ascii="Arial" w:hAnsi="Arial"/>
              </w:rPr>
              <w:t>Ibruktagnings- eller ändringsinspektion av anläggning för oljeuppvärmning</w:t>
            </w:r>
          </w:p>
        </w:tc>
        <w:tc>
          <w:tcPr>
            <w:tcW w:w="1819" w:type="dxa"/>
            <w:tcBorders>
              <w:top w:val="single" w:sz="8" w:space="0" w:color="auto"/>
              <w:left w:val="single" w:sz="8" w:space="0" w:color="auto"/>
              <w:bottom w:val="single" w:sz="8" w:space="0" w:color="auto"/>
              <w:right w:val="single" w:sz="8" w:space="0" w:color="auto"/>
            </w:tcBorders>
          </w:tcPr>
          <w:p w14:paraId="478898C0" w14:textId="5A9BCBD7" w:rsidR="006563DB" w:rsidRDefault="009C0616">
            <w:pPr>
              <w:spacing w:after="220"/>
              <w:rPr>
                <w:rFonts w:ascii="Arial" w:eastAsia="Arial" w:hAnsi="Arial" w:cs="Arial"/>
              </w:rPr>
            </w:pPr>
            <w:r>
              <w:rPr>
                <w:rFonts w:ascii="Arial" w:hAnsi="Arial"/>
              </w:rPr>
              <w:t>117,00 €</w:t>
            </w:r>
          </w:p>
        </w:tc>
        <w:tc>
          <w:tcPr>
            <w:tcW w:w="3826" w:type="dxa"/>
            <w:tcBorders>
              <w:top w:val="single" w:sz="8" w:space="0" w:color="auto"/>
              <w:left w:val="single" w:sz="8" w:space="0" w:color="auto"/>
              <w:bottom w:val="single" w:sz="8" w:space="0" w:color="auto"/>
              <w:right w:val="single" w:sz="8" w:space="0" w:color="auto"/>
            </w:tcBorders>
            <w:hideMark/>
          </w:tcPr>
          <w:p w14:paraId="5E58DC28" w14:textId="77777777" w:rsidR="006563DB" w:rsidRDefault="006563DB">
            <w:pPr>
              <w:spacing w:after="220"/>
            </w:pPr>
            <w:r>
              <w:rPr>
                <w:rFonts w:ascii="Arial" w:hAnsi="Arial"/>
              </w:rPr>
              <w:t xml:space="preserve">  </w:t>
            </w:r>
          </w:p>
        </w:tc>
      </w:tr>
      <w:tr w:rsidR="00EF0432" w14:paraId="13EE6118" w14:textId="77777777" w:rsidTr="003E2D4A">
        <w:trPr>
          <w:trHeight w:hRule="exact" w:val="964"/>
        </w:trPr>
        <w:tc>
          <w:tcPr>
            <w:tcW w:w="3983" w:type="dxa"/>
            <w:tcBorders>
              <w:top w:val="single" w:sz="8" w:space="0" w:color="auto"/>
              <w:left w:val="single" w:sz="8" w:space="0" w:color="auto"/>
              <w:bottom w:val="single" w:sz="8" w:space="0" w:color="auto"/>
              <w:right w:val="single" w:sz="8" w:space="0" w:color="auto"/>
            </w:tcBorders>
            <w:hideMark/>
          </w:tcPr>
          <w:p w14:paraId="143088C4" w14:textId="43266E7F" w:rsidR="00EF0432" w:rsidRDefault="00EF0432" w:rsidP="00EF0432">
            <w:pPr>
              <w:spacing w:after="220"/>
            </w:pPr>
            <w:r>
              <w:rPr>
                <w:rFonts w:ascii="Arial" w:hAnsi="Arial"/>
              </w:rPr>
              <w:lastRenderedPageBreak/>
              <w:t>Inspektion av tillfällig upplagring av explosiva varor</w:t>
            </w:r>
          </w:p>
        </w:tc>
        <w:tc>
          <w:tcPr>
            <w:tcW w:w="1819" w:type="dxa"/>
            <w:tcBorders>
              <w:top w:val="single" w:sz="8" w:space="0" w:color="auto"/>
              <w:left w:val="single" w:sz="8" w:space="0" w:color="auto"/>
              <w:bottom w:val="single" w:sz="8" w:space="0" w:color="auto"/>
              <w:right w:val="single" w:sz="8" w:space="0" w:color="auto"/>
            </w:tcBorders>
          </w:tcPr>
          <w:p w14:paraId="24FB85EC" w14:textId="6F3FDB75" w:rsidR="00EF0432" w:rsidRDefault="00EF0432" w:rsidP="00EF0432">
            <w:pPr>
              <w:spacing w:after="220"/>
              <w:rPr>
                <w:rFonts w:ascii="Arial" w:eastAsia="Arial" w:hAnsi="Arial" w:cs="Arial"/>
              </w:rPr>
            </w:pPr>
            <w:r>
              <w:rPr>
                <w:rFonts w:ascii="Arial" w:hAnsi="Arial"/>
              </w:rPr>
              <w:t>235,00 €</w:t>
            </w:r>
          </w:p>
        </w:tc>
        <w:tc>
          <w:tcPr>
            <w:tcW w:w="3826" w:type="dxa"/>
            <w:tcBorders>
              <w:top w:val="single" w:sz="8" w:space="0" w:color="auto"/>
              <w:left w:val="single" w:sz="8" w:space="0" w:color="auto"/>
              <w:bottom w:val="single" w:sz="8" w:space="0" w:color="auto"/>
              <w:right w:val="single" w:sz="8" w:space="0" w:color="auto"/>
            </w:tcBorders>
            <w:hideMark/>
          </w:tcPr>
          <w:p w14:paraId="604D637B" w14:textId="53B7906A" w:rsidR="00EF0432" w:rsidRPr="00120ACD" w:rsidRDefault="00EF0432" w:rsidP="00EF0432">
            <w:pPr>
              <w:spacing w:after="220"/>
              <w:rPr>
                <w:sz w:val="16"/>
                <w:szCs w:val="16"/>
              </w:rPr>
            </w:pPr>
            <w:r w:rsidRPr="00120ACD">
              <w:rPr>
                <w:rFonts w:ascii="Arial" w:hAnsi="Arial"/>
                <w:sz w:val="16"/>
                <w:szCs w:val="16"/>
              </w:rPr>
              <w:t>Innehåller max. 1 h objektsbesök. Om besökstiden överskrids med mer än 30 min, tas för den överskridande tiden ut en extra timdebitering 78 €/h</w:t>
            </w:r>
          </w:p>
        </w:tc>
      </w:tr>
      <w:tr w:rsidR="00EF0432" w14:paraId="1E9DFA69" w14:textId="77777777" w:rsidTr="003E2D4A">
        <w:trPr>
          <w:trHeight w:hRule="exact" w:val="964"/>
        </w:trPr>
        <w:tc>
          <w:tcPr>
            <w:tcW w:w="3983" w:type="dxa"/>
            <w:tcBorders>
              <w:top w:val="single" w:sz="8" w:space="0" w:color="auto"/>
              <w:left w:val="single" w:sz="8" w:space="0" w:color="auto"/>
              <w:bottom w:val="single" w:sz="8" w:space="0" w:color="auto"/>
              <w:right w:val="single" w:sz="8" w:space="0" w:color="auto"/>
            </w:tcBorders>
            <w:hideMark/>
          </w:tcPr>
          <w:p w14:paraId="3B0F8F6A" w14:textId="77777777" w:rsidR="00EF0432" w:rsidRDefault="00EF0432" w:rsidP="00EF0432">
            <w:pPr>
              <w:rPr>
                <w:rFonts w:ascii="Arial" w:eastAsia="Arial" w:hAnsi="Arial" w:cs="Arial"/>
              </w:rPr>
            </w:pPr>
            <w:r>
              <w:rPr>
                <w:rFonts w:ascii="Arial" w:hAnsi="Arial"/>
              </w:rPr>
              <w:t xml:space="preserve">Inspektion av tillfällig upplagring av explosiva varor, vilket ersätter Tukes ibruktagningsbesiktning </w:t>
            </w:r>
          </w:p>
        </w:tc>
        <w:tc>
          <w:tcPr>
            <w:tcW w:w="1819" w:type="dxa"/>
            <w:tcBorders>
              <w:top w:val="single" w:sz="8" w:space="0" w:color="auto"/>
              <w:left w:val="single" w:sz="8" w:space="0" w:color="auto"/>
              <w:bottom w:val="single" w:sz="8" w:space="0" w:color="auto"/>
              <w:right w:val="single" w:sz="8" w:space="0" w:color="auto"/>
            </w:tcBorders>
          </w:tcPr>
          <w:p w14:paraId="5EFDAA1A" w14:textId="1F4012DE" w:rsidR="00EF0432" w:rsidRDefault="00EF0432" w:rsidP="00EF0432">
            <w:pPr>
              <w:rPr>
                <w:rFonts w:ascii="Arial" w:eastAsia="Arial" w:hAnsi="Arial" w:cs="Arial"/>
              </w:rPr>
            </w:pPr>
            <w:r>
              <w:rPr>
                <w:rFonts w:ascii="Arial" w:hAnsi="Arial"/>
              </w:rPr>
              <w:t>352,00 €</w:t>
            </w:r>
          </w:p>
        </w:tc>
        <w:tc>
          <w:tcPr>
            <w:tcW w:w="3826" w:type="dxa"/>
            <w:tcBorders>
              <w:top w:val="single" w:sz="8" w:space="0" w:color="auto"/>
              <w:left w:val="single" w:sz="8" w:space="0" w:color="auto"/>
              <w:bottom w:val="single" w:sz="8" w:space="0" w:color="auto"/>
              <w:right w:val="single" w:sz="8" w:space="0" w:color="auto"/>
            </w:tcBorders>
          </w:tcPr>
          <w:p w14:paraId="4473840F" w14:textId="0D6F530E" w:rsidR="00EF0432" w:rsidRDefault="00EF0432" w:rsidP="00EF0432">
            <w:pPr>
              <w:rPr>
                <w:rFonts w:ascii="Arial" w:eastAsia="Arial" w:hAnsi="Arial" w:cs="Arial"/>
              </w:rPr>
            </w:pPr>
            <w:r>
              <w:rPr>
                <w:rFonts w:ascii="Arial" w:hAnsi="Arial"/>
                <w:sz w:val="16"/>
              </w:rPr>
              <w:t>Innehåller max. 2 h objektsbesök. Om besökstiden överskrids med mer än 30 min, tas för den överskridande tiden ut en extra timdebitering 78 €/h</w:t>
            </w:r>
          </w:p>
        </w:tc>
      </w:tr>
      <w:tr w:rsidR="006563DB" w14:paraId="6EA1ED1F" w14:textId="77777777" w:rsidTr="00DE44EE">
        <w:trPr>
          <w:trHeight w:val="810"/>
        </w:trPr>
        <w:tc>
          <w:tcPr>
            <w:tcW w:w="3983" w:type="dxa"/>
            <w:tcBorders>
              <w:top w:val="single" w:sz="8" w:space="0" w:color="auto"/>
              <w:left w:val="single" w:sz="8" w:space="0" w:color="auto"/>
              <w:bottom w:val="single" w:sz="8" w:space="0" w:color="auto"/>
              <w:right w:val="single" w:sz="8" w:space="0" w:color="auto"/>
            </w:tcBorders>
            <w:hideMark/>
          </w:tcPr>
          <w:p w14:paraId="2D9C4225" w14:textId="77777777" w:rsidR="006563DB" w:rsidRDefault="006563DB">
            <w:pPr>
              <w:spacing w:after="220"/>
              <w:rPr>
                <w:rFonts w:ascii="Arial" w:eastAsia="Arial" w:hAnsi="Arial" w:cs="Arial"/>
              </w:rPr>
            </w:pPr>
            <w:r>
              <w:rPr>
                <w:rFonts w:ascii="Arial" w:hAnsi="Arial"/>
              </w:rPr>
              <w:t>Behandling av anmälan om användning av explosiva varor eller brand- och explosionsfarliga kemikalier som specialeffekter</w:t>
            </w:r>
          </w:p>
        </w:tc>
        <w:tc>
          <w:tcPr>
            <w:tcW w:w="1819" w:type="dxa"/>
            <w:tcBorders>
              <w:top w:val="single" w:sz="8" w:space="0" w:color="auto"/>
              <w:left w:val="single" w:sz="8" w:space="0" w:color="auto"/>
              <w:bottom w:val="single" w:sz="8" w:space="0" w:color="auto"/>
              <w:right w:val="single" w:sz="8" w:space="0" w:color="auto"/>
            </w:tcBorders>
          </w:tcPr>
          <w:p w14:paraId="5EA26187" w14:textId="2497F0E7" w:rsidR="006563DB" w:rsidRDefault="00FC794B">
            <w:pPr>
              <w:spacing w:after="220"/>
              <w:rPr>
                <w:rFonts w:ascii="Arial" w:eastAsia="Arial" w:hAnsi="Arial" w:cs="Arial"/>
                <w:color w:val="FF0000"/>
              </w:rPr>
            </w:pPr>
            <w:r>
              <w:rPr>
                <w:rFonts w:ascii="Arial" w:hAnsi="Arial"/>
              </w:rPr>
              <w:t>117,00 €</w:t>
            </w:r>
          </w:p>
        </w:tc>
        <w:tc>
          <w:tcPr>
            <w:tcW w:w="3826" w:type="dxa"/>
            <w:tcBorders>
              <w:top w:val="single" w:sz="8" w:space="0" w:color="auto"/>
              <w:left w:val="single" w:sz="8" w:space="0" w:color="auto"/>
              <w:bottom w:val="single" w:sz="8" w:space="0" w:color="auto"/>
              <w:right w:val="single" w:sz="8" w:space="0" w:color="auto"/>
            </w:tcBorders>
          </w:tcPr>
          <w:p w14:paraId="16845AF3" w14:textId="77777777" w:rsidR="006563DB" w:rsidRDefault="006563DB">
            <w:pPr>
              <w:spacing w:after="220"/>
              <w:rPr>
                <w:rFonts w:ascii="Arial" w:eastAsia="Arial" w:hAnsi="Arial" w:cs="Arial"/>
              </w:rPr>
            </w:pPr>
          </w:p>
        </w:tc>
      </w:tr>
      <w:tr w:rsidR="006563DB" w14:paraId="007C2EB2" w14:textId="77777777" w:rsidTr="00DE44EE">
        <w:trPr>
          <w:trHeight w:val="885"/>
        </w:trPr>
        <w:tc>
          <w:tcPr>
            <w:tcW w:w="3983" w:type="dxa"/>
            <w:tcBorders>
              <w:top w:val="single" w:sz="8" w:space="0" w:color="auto"/>
              <w:left w:val="single" w:sz="8" w:space="0" w:color="auto"/>
              <w:bottom w:val="single" w:sz="8" w:space="0" w:color="auto"/>
              <w:right w:val="single" w:sz="8" w:space="0" w:color="auto"/>
            </w:tcBorders>
            <w:hideMark/>
          </w:tcPr>
          <w:p w14:paraId="5512BE17" w14:textId="77777777" w:rsidR="006563DB" w:rsidRDefault="006563DB">
            <w:pPr>
              <w:spacing w:after="220"/>
              <w:rPr>
                <w:rFonts w:ascii="Arial" w:eastAsia="Arial" w:hAnsi="Arial" w:cs="Arial"/>
              </w:rPr>
            </w:pPr>
            <w:r>
              <w:rPr>
                <w:rFonts w:ascii="Arial" w:hAnsi="Arial"/>
              </w:rPr>
              <w:t xml:space="preserve">Räddningsmyndighetens beslut om upplagring av fyrverkeripjäser och pyrotekniska artiklar i samband med handel </w:t>
            </w:r>
          </w:p>
        </w:tc>
        <w:tc>
          <w:tcPr>
            <w:tcW w:w="1819" w:type="dxa"/>
            <w:tcBorders>
              <w:top w:val="single" w:sz="8" w:space="0" w:color="auto"/>
              <w:left w:val="single" w:sz="8" w:space="0" w:color="auto"/>
              <w:bottom w:val="single" w:sz="8" w:space="0" w:color="auto"/>
              <w:right w:val="single" w:sz="8" w:space="0" w:color="auto"/>
            </w:tcBorders>
          </w:tcPr>
          <w:p w14:paraId="4B134DB3" w14:textId="0F91B852" w:rsidR="006563DB" w:rsidRDefault="00FC794B">
            <w:pPr>
              <w:spacing w:after="220"/>
              <w:rPr>
                <w:rFonts w:ascii="Arial" w:eastAsia="Arial" w:hAnsi="Arial" w:cs="Arial"/>
                <w:strike/>
                <w:color w:val="FF0000"/>
                <w:highlight w:val="yellow"/>
              </w:rPr>
            </w:pPr>
            <w:r>
              <w:rPr>
                <w:rFonts w:ascii="Arial" w:hAnsi="Arial"/>
              </w:rPr>
              <w:t>196,00 €</w:t>
            </w:r>
          </w:p>
        </w:tc>
        <w:tc>
          <w:tcPr>
            <w:tcW w:w="3826" w:type="dxa"/>
            <w:tcBorders>
              <w:top w:val="single" w:sz="8" w:space="0" w:color="auto"/>
              <w:left w:val="single" w:sz="8" w:space="0" w:color="auto"/>
              <w:bottom w:val="single" w:sz="8" w:space="0" w:color="auto"/>
              <w:right w:val="single" w:sz="8" w:space="0" w:color="auto"/>
            </w:tcBorders>
          </w:tcPr>
          <w:p w14:paraId="3E98A199" w14:textId="77777777" w:rsidR="006563DB" w:rsidRDefault="006563DB">
            <w:pPr>
              <w:spacing w:after="220"/>
              <w:rPr>
                <w:rFonts w:ascii="Arial" w:eastAsia="Arial" w:hAnsi="Arial" w:cs="Arial"/>
                <w:color w:val="FF0000"/>
                <w:highlight w:val="yellow"/>
              </w:rPr>
            </w:pPr>
          </w:p>
        </w:tc>
      </w:tr>
      <w:tr w:rsidR="00FC794B" w14:paraId="180E15BC" w14:textId="77777777" w:rsidTr="00DE44EE">
        <w:trPr>
          <w:trHeight w:val="885"/>
        </w:trPr>
        <w:tc>
          <w:tcPr>
            <w:tcW w:w="3983" w:type="dxa"/>
            <w:tcBorders>
              <w:top w:val="single" w:sz="8" w:space="0" w:color="auto"/>
              <w:left w:val="single" w:sz="8" w:space="0" w:color="auto"/>
              <w:bottom w:val="single" w:sz="8" w:space="0" w:color="auto"/>
              <w:right w:val="single" w:sz="8" w:space="0" w:color="auto"/>
            </w:tcBorders>
          </w:tcPr>
          <w:p w14:paraId="0C9E5F89" w14:textId="3F49F93E" w:rsidR="00FC794B" w:rsidRDefault="00FC794B">
            <w:pPr>
              <w:spacing w:after="220"/>
              <w:rPr>
                <w:rFonts w:ascii="Arial" w:eastAsia="Arial" w:hAnsi="Arial" w:cs="Arial"/>
              </w:rPr>
            </w:pPr>
            <w:r>
              <w:rPr>
                <w:rFonts w:ascii="Arial" w:hAnsi="Arial"/>
              </w:rPr>
              <w:t>Räddningsmyndighetens inspektion av upplagring av fyrverkeripjäser och pyrotekniska artiklar i samband med handel</w:t>
            </w:r>
          </w:p>
        </w:tc>
        <w:tc>
          <w:tcPr>
            <w:tcW w:w="1819" w:type="dxa"/>
            <w:tcBorders>
              <w:top w:val="single" w:sz="8" w:space="0" w:color="auto"/>
              <w:left w:val="single" w:sz="8" w:space="0" w:color="auto"/>
              <w:bottom w:val="single" w:sz="8" w:space="0" w:color="auto"/>
              <w:right w:val="single" w:sz="8" w:space="0" w:color="auto"/>
            </w:tcBorders>
          </w:tcPr>
          <w:p w14:paraId="32C3C0B8" w14:textId="74683FC5" w:rsidR="00FC794B" w:rsidRPr="00FC794B" w:rsidRDefault="006A05C7">
            <w:pPr>
              <w:spacing w:after="220"/>
              <w:rPr>
                <w:rFonts w:ascii="Arial" w:eastAsia="Arial" w:hAnsi="Arial" w:cs="Arial"/>
              </w:rPr>
            </w:pPr>
            <w:r>
              <w:rPr>
                <w:rFonts w:ascii="Arial" w:hAnsi="Arial"/>
              </w:rPr>
              <w:t>117,00 €</w:t>
            </w:r>
          </w:p>
        </w:tc>
        <w:tc>
          <w:tcPr>
            <w:tcW w:w="3826" w:type="dxa"/>
            <w:tcBorders>
              <w:top w:val="single" w:sz="8" w:space="0" w:color="auto"/>
              <w:left w:val="single" w:sz="8" w:space="0" w:color="auto"/>
              <w:bottom w:val="single" w:sz="8" w:space="0" w:color="auto"/>
              <w:right w:val="single" w:sz="8" w:space="0" w:color="auto"/>
            </w:tcBorders>
          </w:tcPr>
          <w:p w14:paraId="1AC5244B" w14:textId="77777777" w:rsidR="00FC794B" w:rsidRDefault="00FC794B">
            <w:pPr>
              <w:spacing w:after="220"/>
              <w:rPr>
                <w:rFonts w:ascii="Arial" w:eastAsia="Arial" w:hAnsi="Arial" w:cs="Arial"/>
                <w:color w:val="FF0000"/>
                <w:highlight w:val="yellow"/>
              </w:rPr>
            </w:pPr>
          </w:p>
        </w:tc>
      </w:tr>
      <w:tr w:rsidR="006563DB" w14:paraId="68537212" w14:textId="77777777" w:rsidTr="00DE44EE">
        <w:trPr>
          <w:trHeight w:val="1005"/>
        </w:trPr>
        <w:tc>
          <w:tcPr>
            <w:tcW w:w="3983" w:type="dxa"/>
            <w:tcBorders>
              <w:top w:val="single" w:sz="8" w:space="0" w:color="auto"/>
              <w:left w:val="single" w:sz="8" w:space="0" w:color="auto"/>
              <w:bottom w:val="single" w:sz="8" w:space="0" w:color="auto"/>
              <w:right w:val="single" w:sz="8" w:space="0" w:color="auto"/>
            </w:tcBorders>
            <w:hideMark/>
          </w:tcPr>
          <w:p w14:paraId="37181A69" w14:textId="77777777" w:rsidR="006563DB" w:rsidRDefault="006563DB">
            <w:pPr>
              <w:spacing w:after="220"/>
              <w:rPr>
                <w:rFonts w:ascii="Arial" w:eastAsia="Arial" w:hAnsi="Arial" w:cs="Arial"/>
              </w:rPr>
            </w:pPr>
            <w:r>
              <w:rPr>
                <w:rFonts w:ascii="Arial" w:hAnsi="Arial"/>
              </w:rPr>
              <w:t xml:space="preserve">Beslut om användning av fyrverkeripjäser under andra tider än vad som tillåts i förordningen (31.12 kl. 18.00–1.1 kl. 2.00) </w:t>
            </w:r>
          </w:p>
        </w:tc>
        <w:tc>
          <w:tcPr>
            <w:tcW w:w="1819" w:type="dxa"/>
            <w:tcBorders>
              <w:top w:val="single" w:sz="8" w:space="0" w:color="auto"/>
              <w:left w:val="single" w:sz="8" w:space="0" w:color="auto"/>
              <w:bottom w:val="single" w:sz="8" w:space="0" w:color="auto"/>
              <w:right w:val="single" w:sz="8" w:space="0" w:color="auto"/>
            </w:tcBorders>
          </w:tcPr>
          <w:p w14:paraId="32BA0D61" w14:textId="77777777" w:rsidR="006563DB" w:rsidRDefault="009919B8">
            <w:pPr>
              <w:spacing w:after="220"/>
              <w:rPr>
                <w:rFonts w:ascii="Arial" w:eastAsia="Arial" w:hAnsi="Arial" w:cs="Arial"/>
              </w:rPr>
            </w:pPr>
            <w:r>
              <w:rPr>
                <w:rFonts w:ascii="Arial" w:hAnsi="Arial"/>
              </w:rPr>
              <w:t>Avgiftsfri</w:t>
            </w:r>
          </w:p>
        </w:tc>
        <w:tc>
          <w:tcPr>
            <w:tcW w:w="3826" w:type="dxa"/>
            <w:tcBorders>
              <w:top w:val="single" w:sz="8" w:space="0" w:color="auto"/>
              <w:left w:val="single" w:sz="8" w:space="0" w:color="auto"/>
              <w:bottom w:val="single" w:sz="8" w:space="0" w:color="auto"/>
              <w:right w:val="single" w:sz="8" w:space="0" w:color="auto"/>
            </w:tcBorders>
            <w:hideMark/>
          </w:tcPr>
          <w:p w14:paraId="26A02260" w14:textId="77777777" w:rsidR="006563DB" w:rsidRDefault="006563DB">
            <w:pPr>
              <w:spacing w:after="220"/>
            </w:pPr>
            <w:r>
              <w:rPr>
                <w:rFonts w:ascii="Arial" w:hAnsi="Arial"/>
              </w:rPr>
              <w:t xml:space="preserve"> </w:t>
            </w:r>
          </w:p>
        </w:tc>
      </w:tr>
      <w:tr w:rsidR="006563DB" w14:paraId="1F5A97AA" w14:textId="77777777" w:rsidTr="003E2D4A">
        <w:trPr>
          <w:trHeight w:hRule="exact" w:val="964"/>
        </w:trPr>
        <w:tc>
          <w:tcPr>
            <w:tcW w:w="3983" w:type="dxa"/>
            <w:tcBorders>
              <w:top w:val="single" w:sz="8" w:space="0" w:color="auto"/>
              <w:left w:val="single" w:sz="8" w:space="0" w:color="auto"/>
              <w:bottom w:val="single" w:sz="8" w:space="0" w:color="auto"/>
              <w:right w:val="single" w:sz="8" w:space="0" w:color="auto"/>
            </w:tcBorders>
            <w:hideMark/>
          </w:tcPr>
          <w:p w14:paraId="644C1B64" w14:textId="442FF5B3" w:rsidR="006563DB" w:rsidRDefault="006563DB">
            <w:pPr>
              <w:spacing w:after="220"/>
              <w:rPr>
                <w:rFonts w:ascii="Arial" w:eastAsia="Arial" w:hAnsi="Arial" w:cs="Arial"/>
              </w:rPr>
            </w:pPr>
            <w:r>
              <w:rPr>
                <w:rFonts w:ascii="Arial" w:hAnsi="Arial"/>
              </w:rPr>
              <w:t xml:space="preserve">Deltagande i en annan myndighets eller intressentgrupps inspektion </w:t>
            </w:r>
          </w:p>
        </w:tc>
        <w:tc>
          <w:tcPr>
            <w:tcW w:w="1819" w:type="dxa"/>
            <w:tcBorders>
              <w:top w:val="single" w:sz="8" w:space="0" w:color="auto"/>
              <w:left w:val="single" w:sz="8" w:space="0" w:color="auto"/>
              <w:bottom w:val="single" w:sz="8" w:space="0" w:color="auto"/>
              <w:right w:val="single" w:sz="8" w:space="0" w:color="auto"/>
            </w:tcBorders>
          </w:tcPr>
          <w:p w14:paraId="56C3B906" w14:textId="77777777" w:rsidR="006563DB" w:rsidRDefault="009919B8">
            <w:pPr>
              <w:spacing w:after="220"/>
              <w:rPr>
                <w:rFonts w:ascii="Arial" w:eastAsia="Arial" w:hAnsi="Arial" w:cs="Arial"/>
              </w:rPr>
            </w:pPr>
            <w:r>
              <w:rPr>
                <w:rFonts w:ascii="Arial" w:hAnsi="Arial"/>
              </w:rPr>
              <w:t>Avgiftsfri</w:t>
            </w:r>
          </w:p>
        </w:tc>
        <w:tc>
          <w:tcPr>
            <w:tcW w:w="3826" w:type="dxa"/>
            <w:tcBorders>
              <w:top w:val="single" w:sz="8" w:space="0" w:color="auto"/>
              <w:left w:val="single" w:sz="8" w:space="0" w:color="auto"/>
              <w:bottom w:val="single" w:sz="8" w:space="0" w:color="auto"/>
              <w:right w:val="single" w:sz="8" w:space="0" w:color="auto"/>
            </w:tcBorders>
          </w:tcPr>
          <w:p w14:paraId="2D9DF206" w14:textId="3A04AFA6" w:rsidR="006563DB" w:rsidRDefault="009919B8">
            <w:pPr>
              <w:spacing w:after="220"/>
              <w:rPr>
                <w:rFonts w:ascii="Arial" w:eastAsia="Arial" w:hAnsi="Arial" w:cs="Arial"/>
              </w:rPr>
            </w:pPr>
            <w:r>
              <w:rPr>
                <w:rFonts w:ascii="Arial" w:hAnsi="Arial"/>
                <w:sz w:val="16"/>
              </w:rPr>
              <w:t>Om räddningsmyndigheten samtidigt utför tillsyn eller motsvarande, tas för detta ut en avgift som fastställts för åtgärden i fråga.</w:t>
            </w:r>
          </w:p>
        </w:tc>
      </w:tr>
    </w:tbl>
    <w:p w14:paraId="7179132C" w14:textId="77777777" w:rsidR="006563DB" w:rsidRDefault="006563DB" w:rsidP="006563DB"/>
    <w:p w14:paraId="4CE16496" w14:textId="77777777" w:rsidR="00632538" w:rsidRDefault="00632538"/>
    <w:sectPr w:rsidR="0063253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04B5B"/>
    <w:multiLevelType w:val="hybridMultilevel"/>
    <w:tmpl w:val="51C8F7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A305B7A"/>
    <w:multiLevelType w:val="hybridMultilevel"/>
    <w:tmpl w:val="F49A7C2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07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CEF7BD0"/>
    <w:multiLevelType w:val="hybridMultilevel"/>
    <w:tmpl w:val="6064422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578099640">
    <w:abstractNumId w:val="2"/>
  </w:num>
  <w:num w:numId="2" w16cid:durableId="1879512790">
    <w:abstractNumId w:val="1"/>
  </w:num>
  <w:num w:numId="3" w16cid:durableId="25063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DB"/>
    <w:rsid w:val="000659A9"/>
    <w:rsid w:val="00120ACD"/>
    <w:rsid w:val="00125608"/>
    <w:rsid w:val="0018374B"/>
    <w:rsid w:val="00233BB7"/>
    <w:rsid w:val="002C15DF"/>
    <w:rsid w:val="0030138D"/>
    <w:rsid w:val="0031208E"/>
    <w:rsid w:val="003E2D4A"/>
    <w:rsid w:val="003E38E3"/>
    <w:rsid w:val="003E4508"/>
    <w:rsid w:val="004A2FAD"/>
    <w:rsid w:val="004F0285"/>
    <w:rsid w:val="00517408"/>
    <w:rsid w:val="005440B6"/>
    <w:rsid w:val="005531A6"/>
    <w:rsid w:val="00632538"/>
    <w:rsid w:val="006563DB"/>
    <w:rsid w:val="006573D7"/>
    <w:rsid w:val="006A05C7"/>
    <w:rsid w:val="00714EC7"/>
    <w:rsid w:val="007164BE"/>
    <w:rsid w:val="00720037"/>
    <w:rsid w:val="00724EE0"/>
    <w:rsid w:val="007525A7"/>
    <w:rsid w:val="007C1E48"/>
    <w:rsid w:val="008356C6"/>
    <w:rsid w:val="008562A7"/>
    <w:rsid w:val="00914401"/>
    <w:rsid w:val="00972DD8"/>
    <w:rsid w:val="009919B8"/>
    <w:rsid w:val="009C0616"/>
    <w:rsid w:val="009C0D74"/>
    <w:rsid w:val="00A41529"/>
    <w:rsid w:val="00A874A4"/>
    <w:rsid w:val="00AC409C"/>
    <w:rsid w:val="00AD3D41"/>
    <w:rsid w:val="00B45B69"/>
    <w:rsid w:val="00BD1EB5"/>
    <w:rsid w:val="00BD6624"/>
    <w:rsid w:val="00C252E2"/>
    <w:rsid w:val="00C45D1B"/>
    <w:rsid w:val="00C6616A"/>
    <w:rsid w:val="00C767E5"/>
    <w:rsid w:val="00CA59D9"/>
    <w:rsid w:val="00D02330"/>
    <w:rsid w:val="00DB19FB"/>
    <w:rsid w:val="00DE44EE"/>
    <w:rsid w:val="00ED3627"/>
    <w:rsid w:val="00ED79D5"/>
    <w:rsid w:val="00EE5269"/>
    <w:rsid w:val="00EF0432"/>
    <w:rsid w:val="00EF3AF6"/>
    <w:rsid w:val="00F116B2"/>
    <w:rsid w:val="00F64E4C"/>
    <w:rsid w:val="00F96A8A"/>
    <w:rsid w:val="00F9786B"/>
    <w:rsid w:val="00FC794B"/>
    <w:rsid w:val="00FF720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1BDE"/>
  <w15:chartTrackingRefBased/>
  <w15:docId w15:val="{8D0494BF-DBBE-4A70-9FC5-1EF6F2D5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563DB"/>
    <w:pPr>
      <w:spacing w:after="200" w:line="240" w:lineRule="auto"/>
    </w:pPr>
    <w:rPr>
      <w:rFonts w:eastAsia="Times New Roman" w:cs="Times New Roman"/>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6563DB"/>
    <w:pPr>
      <w:spacing w:after="0" w:line="240" w:lineRule="auto"/>
    </w:pPr>
    <w:rPr>
      <w:rFonts w:eastAsia="Times New Roman" w:cs="Times New Roman"/>
      <w:lang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656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172622">
      <w:bodyDiv w:val="1"/>
      <w:marLeft w:val="0"/>
      <w:marRight w:val="0"/>
      <w:marTop w:val="0"/>
      <w:marBottom w:val="0"/>
      <w:divBdr>
        <w:top w:val="none" w:sz="0" w:space="0" w:color="auto"/>
        <w:left w:val="none" w:sz="0" w:space="0" w:color="auto"/>
        <w:bottom w:val="none" w:sz="0" w:space="0" w:color="auto"/>
        <w:right w:val="none" w:sz="0" w:space="0" w:color="auto"/>
      </w:divBdr>
    </w:div>
    <w:div w:id="4860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DF50D6940E510419F8DB825F9D99BE6" ma:contentTypeVersion="1" ma:contentTypeDescription="Luo uusi asiakirja." ma:contentTypeScope="" ma:versionID="b5783493e5b8b19af041d12057e3f50a">
  <xsd:schema xmlns:xsd="http://www.w3.org/2001/XMLSchema" xmlns:xs="http://www.w3.org/2001/XMLSchema" xmlns:p="http://schemas.microsoft.com/office/2006/metadata/properties" xmlns:ns2="1234f9fe-3266-42e0-b37f-3f2a69ad6e94" targetNamespace="http://schemas.microsoft.com/office/2006/metadata/properties" ma:root="true" ma:fieldsID="a5691b7c13f2e0fee6b069933e1e9a84" ns2:_="">
    <xsd:import namespace="1234f9fe-3266-42e0-b37f-3f2a69ad6e9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4f9fe-3266-42e0-b37f-3f2a69ad6e94"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3E0521-1A34-4ACB-B45A-FF97739F5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4f9fe-3266-42e0-b37f-3f2a69ad6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ACC35-F4C4-4EC0-87F4-8B83BECEBFC5}">
  <ds:schemaRefs>
    <ds:schemaRef ds:uri="http://schemas.microsoft.com/sharepoint/v3/contenttype/forms"/>
  </ds:schemaRefs>
</ds:datastoreItem>
</file>

<file path=customXml/itemProps3.xml><?xml version="1.0" encoding="utf-8"?>
<ds:datastoreItem xmlns:ds="http://schemas.openxmlformats.org/officeDocument/2006/customXml" ds:itemID="{E0C5470F-8AB7-4CAB-BD11-3A21149B5F3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1234f9fe-3266-42e0-b37f-3f2a69ad6e9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609</Words>
  <Characters>5524</Characters>
  <Application>Microsoft Office Word</Application>
  <DocSecurity>0</DocSecurity>
  <Lines>104</Lines>
  <Paragraphs>50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Päivärinta Ari PEL IU</dc:creator>
  <cp:keywords/>
  <dc:description/>
  <cp:lastModifiedBy>Burstein John</cp:lastModifiedBy>
  <cp:revision>5</cp:revision>
  <dcterms:created xsi:type="dcterms:W3CDTF">2024-10-17T12:08:00Z</dcterms:created>
  <dcterms:modified xsi:type="dcterms:W3CDTF">2024-10-18T07:27:00Z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0x010100ADF50D6940E510419F8DB825F9D99BE6</vt:lpwstr>
  </property>
  <property fmtid="{D5CDD505-2E9C-101B-9397-08002B2CF9AE}" pid="3" name="MSIP_Label_defa4170-0d19-0005-0004-bc88714345d2_Enabled">
    <vt:lpwstr>true</vt:lpwstr>
  </property>
  <property fmtid="{D5CDD505-2E9C-101B-9397-08002B2CF9AE}" pid="4" name="MSIP_Label_defa4170-0d19-0005-0004-bc88714345d2_SetDate">
    <vt:lpwstr>2024-10-17T12:08:34Z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2abf6f4e-a2f0-4ada-b52d-add732f288dd</vt:lpwstr>
  </property>
  <property fmtid="{D5CDD505-2E9C-101B-9397-08002B2CF9AE}" pid="8" name="MSIP_Label_defa4170-0d19-0005-0004-bc88714345d2_ActionId">
    <vt:lpwstr>36175671-bf4f-47a3-862a-3b4cdb8f0148</vt:lpwstr>
  </property>
  <property fmtid="{D5CDD505-2E9C-101B-9397-08002B2CF9AE}" pid="9" name="MSIP_Label_defa4170-0d19-0005-0004-bc88714345d2_ContentBits">
    <vt:lpwstr>0</vt:lpwstr>
  </property>
</Properties>
</file>